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Advertisement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Myovant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Pfizer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Mazyck.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adolescents.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heart-wrenching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de-stigmatize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youth-led.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de-stigmatize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interspersing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endometriosis,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PTAs.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over-the-counter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over-the-counter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Period.org,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 Mazyck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Michela Bedard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 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Advertisement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patient-centered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irregularities.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Myovant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Pfizer,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Period podcast (Completed  03/10/23)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10,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4LPjDsL-33V44TLpClYcWqXXU5Y_zFAN2lqzNwixSTRldLJYW6BrGFZlxJy0TD5gDytR5hR9xietIFD_SrGlnWZC0kE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