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B36F" w14:textId="4360C506" w:rsidR="00977DA6" w:rsidRPr="00977DA6" w:rsidRDefault="00977DA6" w:rsidP="00E924F7">
      <w:pPr>
        <w:rPr>
          <w:u w:val="single"/>
        </w:rPr>
      </w:pPr>
      <w:r w:rsidRPr="00977DA6">
        <w:rPr>
          <w:u w:val="single"/>
        </w:rPr>
        <w:t>Peer reviewed scientific publications</w:t>
      </w:r>
    </w:p>
    <w:p w14:paraId="788D46F7" w14:textId="1F16B1B2" w:rsidR="00E924F7" w:rsidRPr="00E924F7" w:rsidRDefault="00E924F7" w:rsidP="00E924F7">
      <w:r w:rsidRPr="00E924F7">
        <w:t xml:space="preserve">Alonso, W.J., &amp; Schuck-Paim, C. (2025). </w:t>
      </w:r>
      <w:r w:rsidRPr="00E924F7">
        <w:rPr>
          <w:i/>
          <w:iCs/>
        </w:rPr>
        <w:t>Welfare Footprint Framework: methodological foundations and quantitative assessment guidelines</w:t>
      </w:r>
      <w:r w:rsidRPr="00E924F7">
        <w:t>. https://drive.google.com/file/d/104xGkxQXr2JI3d89_PfB-AOtK0iyglOy/view</w:t>
      </w:r>
    </w:p>
    <w:p w14:paraId="5EE87C59" w14:textId="7F92C9EF" w:rsidR="00E924F7" w:rsidRPr="00E924F7" w:rsidRDefault="00E924F7" w:rsidP="00E924F7">
      <w:proofErr w:type="spellStart"/>
      <w:r w:rsidRPr="00E924F7">
        <w:t>Brambell</w:t>
      </w:r>
      <w:proofErr w:type="spellEnd"/>
      <w:r w:rsidRPr="00E924F7">
        <w:t xml:space="preserve">, Roger (1965), </w:t>
      </w:r>
      <w:r w:rsidRPr="00E924F7">
        <w:rPr>
          <w:i/>
          <w:iCs/>
        </w:rPr>
        <w:t xml:space="preserve">Report of the Technical Committee to Enquire </w:t>
      </w:r>
      <w:proofErr w:type="gramStart"/>
      <w:r w:rsidRPr="00E924F7">
        <w:rPr>
          <w:i/>
          <w:iCs/>
        </w:rPr>
        <w:t>Into</w:t>
      </w:r>
      <w:proofErr w:type="gramEnd"/>
      <w:r w:rsidRPr="00E924F7">
        <w:rPr>
          <w:i/>
          <w:iCs/>
        </w:rPr>
        <w:t xml:space="preserve"> the Welfare of Animals Kept Under Intensive Livestock Husbandry Systems</w:t>
      </w:r>
      <w:r w:rsidRPr="00E924F7">
        <w:t>, Cmd. (Great Britain. Parliament), H.M. Stationery Office, pp. 1–84</w:t>
      </w:r>
    </w:p>
    <w:p w14:paraId="17F73DAC" w14:textId="3D59D1D5" w:rsidR="00E924F7" w:rsidRPr="00E924F7" w:rsidRDefault="00E924F7" w:rsidP="00E924F7">
      <w:r w:rsidRPr="00E924F7">
        <w:t xml:space="preserve">Clegg, I., &amp; Schultz, R. (2025). Findings and refinements from a decade of applying the Cetacean Welfare Assessment (“C-Well”) to multiple species on public display. </w:t>
      </w:r>
      <w:r w:rsidRPr="00E924F7">
        <w:rPr>
          <w:i/>
          <w:iCs/>
        </w:rPr>
        <w:t>Journal of Zoo and Aquarium Research</w:t>
      </w:r>
      <w:r w:rsidRPr="00E924F7">
        <w:t xml:space="preserve">, </w:t>
      </w:r>
      <w:r w:rsidRPr="00E924F7">
        <w:rPr>
          <w:i/>
          <w:iCs/>
        </w:rPr>
        <w:t>13</w:t>
      </w:r>
      <w:r w:rsidRPr="00E924F7">
        <w:t>(3), 173-185.</w:t>
      </w:r>
    </w:p>
    <w:p w14:paraId="304EF653" w14:textId="13933B89" w:rsidR="006E0566" w:rsidRDefault="006E0566" w:rsidP="00E924F7">
      <w:r w:rsidRPr="006E0566">
        <w:t xml:space="preserve">Edwards, K.L., Edes, A.N., Brown, J.L. (2019). Stress, Well-Being and Reproductive Success. In: </w:t>
      </w:r>
      <w:proofErr w:type="spellStart"/>
      <w:r w:rsidRPr="006E0566">
        <w:t>Comizzoli</w:t>
      </w:r>
      <w:proofErr w:type="spellEnd"/>
      <w:r w:rsidRPr="006E0566">
        <w:t xml:space="preserve">, P., Brown, J., Holt, W. (eds) Reproductive Sciences in Animal Conservation. Advances in Experimental Medicine and Biology, vol 1200. Springer, Cham. </w:t>
      </w:r>
      <w:hyperlink r:id="rId4" w:history="1">
        <w:r w:rsidRPr="006E0566">
          <w:rPr>
            <w:rStyle w:val="Hyperlink"/>
          </w:rPr>
          <w:t>https://doi.org/10.1007/978-3-030-23633-5_5</w:t>
        </w:r>
      </w:hyperlink>
    </w:p>
    <w:p w14:paraId="2D4A0724" w14:textId="757F50E2" w:rsidR="00E924F7" w:rsidRPr="00E924F7" w:rsidRDefault="00E924F7" w:rsidP="00E924F7">
      <w:r w:rsidRPr="00E924F7">
        <w:t xml:space="preserve">Gosling, S.D. (2001). From mice to men: what can we learn about personality from animal research? </w:t>
      </w:r>
      <w:r w:rsidRPr="00E924F7">
        <w:rPr>
          <w:i/>
          <w:iCs/>
        </w:rPr>
        <w:t xml:space="preserve">Psychology Bulletin </w:t>
      </w:r>
      <w:r w:rsidRPr="00E924F7">
        <w:t xml:space="preserve">127:45–86. </w:t>
      </w:r>
    </w:p>
    <w:p w14:paraId="726D0CD6" w14:textId="77777777" w:rsidR="00E924F7" w:rsidRPr="00E924F7" w:rsidRDefault="00E924F7" w:rsidP="00E924F7">
      <w:r w:rsidRPr="00E924F7">
        <w:t>Gray, J. A. (1987). The psychology of fear and stress (Vol. 5). CUP Archive.</w:t>
      </w:r>
    </w:p>
    <w:p w14:paraId="0305B313" w14:textId="39D3A388" w:rsidR="00E924F7" w:rsidRPr="00E924F7" w:rsidRDefault="00E924F7" w:rsidP="00E924F7">
      <w:proofErr w:type="spellStart"/>
      <w:r w:rsidRPr="00E924F7">
        <w:t>Honess</w:t>
      </w:r>
      <w:proofErr w:type="spellEnd"/>
      <w:r w:rsidRPr="00E924F7">
        <w:t xml:space="preserve">, P., &amp; Wolfensohn, S. (2010). The extended welfare assessment grid: a matrix for the assessment of welfare and cumulative suffering in experimental animals. </w:t>
      </w:r>
      <w:r w:rsidRPr="00E924F7">
        <w:rPr>
          <w:i/>
          <w:iCs/>
        </w:rPr>
        <w:t>Alternatives to Laboratory Animals</w:t>
      </w:r>
      <w:r w:rsidRPr="00E924F7">
        <w:t xml:space="preserve">, </w:t>
      </w:r>
      <w:r w:rsidRPr="00E924F7">
        <w:rPr>
          <w:i/>
          <w:iCs/>
        </w:rPr>
        <w:t>38</w:t>
      </w:r>
      <w:r w:rsidRPr="00E924F7">
        <w:t>(3), 205-212.</w:t>
      </w:r>
    </w:p>
    <w:p w14:paraId="777706DF" w14:textId="77777777" w:rsidR="00E924F7" w:rsidRPr="00E924F7" w:rsidRDefault="00E924F7" w:rsidP="00E924F7">
      <w:r w:rsidRPr="00E924F7">
        <w:t>Mason G.J and Mendl M.T. (2025). Measuring the unmeasurable: the construct validation of indicators of affect and welfare. Chapter 2 in ‘</w:t>
      </w:r>
      <w:r w:rsidRPr="00E924F7">
        <w:rPr>
          <w:i/>
          <w:iCs/>
        </w:rPr>
        <w:t>Assessing animal welfare: A guide to the valid use of indicators of affective states</w:t>
      </w:r>
      <w:r w:rsidRPr="00E924F7">
        <w:t>’ (Eds. GJ Mason, BL Nielsen &amp; MT Mendl). UFAW Animal Welfare series, John Wiley &amp; Sons Ltd, Oxford, United Kingdom</w:t>
      </w:r>
    </w:p>
    <w:p w14:paraId="0CB38D3D" w14:textId="0735795E" w:rsidR="00E924F7" w:rsidRPr="00E924F7" w:rsidRDefault="00E924F7" w:rsidP="00E924F7">
      <w:r w:rsidRPr="00E924F7">
        <w:t xml:space="preserve">Mellor, D. J., &amp; Beausoleil, N. J. (2015). Extending the ‘Five Domains’ model for animal welfare assessment to incorporate positive welfare states. </w:t>
      </w:r>
      <w:r w:rsidRPr="00E924F7">
        <w:rPr>
          <w:i/>
          <w:iCs/>
        </w:rPr>
        <w:t>Animal Welfare</w:t>
      </w:r>
      <w:r w:rsidRPr="00E924F7">
        <w:t xml:space="preserve">, </w:t>
      </w:r>
      <w:r w:rsidRPr="00E924F7">
        <w:rPr>
          <w:i/>
          <w:iCs/>
        </w:rPr>
        <w:t>24</w:t>
      </w:r>
      <w:r w:rsidRPr="00E924F7">
        <w:t>(3), 241-253.</w:t>
      </w:r>
    </w:p>
    <w:p w14:paraId="5F3E0C84" w14:textId="297DC046" w:rsidR="00E924F7" w:rsidRPr="00E924F7" w:rsidRDefault="00E924F7" w:rsidP="00E924F7">
      <w:r w:rsidRPr="00E924F7">
        <w:t>Mellor, D.J. &amp; Reid, C.S.W. (1994). Concepts of animal well-being and predicting the impact of procedures on experimental animals. In: Baker, R., Jenkin, G., and Mellor, D.J. (eds.). Improving the Well-being of Animals in the Research Environment, pp 3-18. Australian and New Zealand Council for the Care of Animals in Research and Teaching: Glen Osmond, SA, Australia.</w:t>
      </w:r>
    </w:p>
    <w:p w14:paraId="6A730CFE" w14:textId="58460EF3" w:rsidR="00E924F7" w:rsidRPr="00E924F7" w:rsidRDefault="00E924F7" w:rsidP="00E924F7">
      <w:r w:rsidRPr="00E924F7">
        <w:t>Miller, L. J., Vicino, G. A., Sheftel, J., &amp; Lauderdale, L. K. (2020). Behavioral diversity as a potential indicator of positive animal welfare. Animals, 10(7), 1211.</w:t>
      </w:r>
    </w:p>
    <w:p w14:paraId="5AC65027" w14:textId="12B87219" w:rsidR="00E924F7" w:rsidRPr="00E924F7" w:rsidRDefault="00E924F7" w:rsidP="00E924F7">
      <w:r w:rsidRPr="00E924F7">
        <w:lastRenderedPageBreak/>
        <w:t xml:space="preserve">O’Brien, S. L., &amp; Cronin, K. A. (2023). Doing better for understudied species: evaluation and improvement of a species-general animal welfare assessment tool for zoos. Applied Animal </w:t>
      </w:r>
      <w:proofErr w:type="spellStart"/>
      <w:r w:rsidRPr="00E924F7">
        <w:t>Behaviour</w:t>
      </w:r>
      <w:proofErr w:type="spellEnd"/>
      <w:r w:rsidRPr="00E924F7">
        <w:t xml:space="preserve"> Science, 264, 105965.</w:t>
      </w:r>
    </w:p>
    <w:p w14:paraId="6EEF1330" w14:textId="77777777" w:rsidR="00E924F7" w:rsidRPr="00E924F7" w:rsidRDefault="00E924F7" w:rsidP="00E924F7">
      <w:r w:rsidRPr="00E924F7">
        <w:t xml:space="preserve">Rinella, S., Massimino, S., Fallica, P. G., Giacobbe, A., Donato, N., Coco, M., Neri, G., Parenti, R., Perciavalle, V., &amp; </w:t>
      </w:r>
      <w:proofErr w:type="spellStart"/>
      <w:r w:rsidRPr="00E924F7">
        <w:t>Conoci</w:t>
      </w:r>
      <w:proofErr w:type="spellEnd"/>
      <w:r w:rsidRPr="00E924F7">
        <w:t xml:space="preserve">, S. (2022). Emotion Recognition: Photoplethysmography and Electrocardiography in Comparison. Biosensors, 12(10), 811. </w:t>
      </w:r>
      <w:hyperlink r:id="rId5" w:history="1">
        <w:r w:rsidRPr="00E924F7">
          <w:rPr>
            <w:rStyle w:val="Hyperlink"/>
          </w:rPr>
          <w:t>https://doi.org/10.3390/bios12100811</w:t>
        </w:r>
      </w:hyperlink>
    </w:p>
    <w:p w14:paraId="64C00FA6" w14:textId="77777777" w:rsidR="00E924F7" w:rsidRPr="00E924F7" w:rsidRDefault="00E924F7" w:rsidP="00E924F7">
      <w:r w:rsidRPr="00E924F7">
        <w:t>Rolls, E. T. (2005). Emotion explained. Affective Science.</w:t>
      </w:r>
    </w:p>
    <w:p w14:paraId="37252CD8" w14:textId="77777777" w:rsidR="00E924F7" w:rsidRPr="00E924F7" w:rsidRDefault="00E924F7" w:rsidP="00E924F7">
      <w:r w:rsidRPr="00E924F7">
        <w:t>Russell, J. A. (2003). Core affect and the psychological construction of emotion. Psychological review, 110(1), 145.</w:t>
      </w:r>
    </w:p>
    <w:p w14:paraId="04FDC6E2" w14:textId="48FDD930" w:rsidR="00E924F7" w:rsidRPr="00E924F7" w:rsidRDefault="00E924F7" w:rsidP="00E924F7">
      <w:r w:rsidRPr="00E924F7">
        <w:t>Vicino, G.; Miller, L.J. From Prevention of Cruelty to Optimizing Welfare: Opportunities to Thrive. In Proceedings of the International Ethological Conference, Cairns, Australia, 19 September 2015.</w:t>
      </w:r>
    </w:p>
    <w:p w14:paraId="5803D5D6" w14:textId="44773C1D" w:rsidR="00E924F7" w:rsidRPr="00E924F7" w:rsidRDefault="00E924F7" w:rsidP="00E924F7">
      <w:r w:rsidRPr="00E924F7">
        <w:t xml:space="preserve">Watters, J. V., &amp; Krebs, B. L. (2025). </w:t>
      </w:r>
      <w:r w:rsidRPr="00E924F7">
        <w:rPr>
          <w:i/>
          <w:iCs/>
        </w:rPr>
        <w:t>A Guide to Managing Zoo Animal Welfare: A Behavioral Approach</w:t>
      </w:r>
      <w:r w:rsidRPr="00E924F7">
        <w:t>. John Wiley &amp; Sons.</w:t>
      </w:r>
    </w:p>
    <w:p w14:paraId="262F471D" w14:textId="77777777" w:rsidR="00E924F7" w:rsidRPr="00E924F7" w:rsidRDefault="00E924F7" w:rsidP="00E924F7">
      <w:proofErr w:type="spellStart"/>
      <w:r w:rsidRPr="00E924F7">
        <w:t>Wemelsfelder</w:t>
      </w:r>
      <w:proofErr w:type="spellEnd"/>
      <w:r w:rsidRPr="00E924F7">
        <w:t xml:space="preserve">, F. (1997). The scientific validity of subjective concepts in models of animal welfare. </w:t>
      </w:r>
      <w:r w:rsidRPr="00E924F7">
        <w:rPr>
          <w:i/>
          <w:iCs/>
        </w:rPr>
        <w:t xml:space="preserve">Applied Animal </w:t>
      </w:r>
      <w:proofErr w:type="spellStart"/>
      <w:r w:rsidRPr="00E924F7">
        <w:rPr>
          <w:i/>
          <w:iCs/>
        </w:rPr>
        <w:t>Behaviour</w:t>
      </w:r>
      <w:proofErr w:type="spellEnd"/>
      <w:r w:rsidRPr="00E924F7">
        <w:rPr>
          <w:i/>
          <w:iCs/>
        </w:rPr>
        <w:t xml:space="preserve"> Science </w:t>
      </w:r>
      <w:r w:rsidRPr="00E924F7">
        <w:t xml:space="preserve">53: 75-88. </w:t>
      </w:r>
    </w:p>
    <w:p w14:paraId="7EC7EB3D" w14:textId="4D204D92" w:rsidR="00E924F7" w:rsidRPr="00E924F7" w:rsidRDefault="00E924F7" w:rsidP="00E924F7">
      <w:proofErr w:type="spellStart"/>
      <w:r w:rsidRPr="00E924F7">
        <w:t>Wemelsfelder</w:t>
      </w:r>
      <w:proofErr w:type="spellEnd"/>
      <w:r w:rsidRPr="00E924F7">
        <w:t xml:space="preserve">, F. (2007). How animals communicate quality of life: the qualitative assessment of </w:t>
      </w:r>
      <w:proofErr w:type="spellStart"/>
      <w:r w:rsidRPr="00E924F7">
        <w:t>behaviour</w:t>
      </w:r>
      <w:proofErr w:type="spellEnd"/>
      <w:r w:rsidRPr="00E924F7">
        <w:t xml:space="preserve">. </w:t>
      </w:r>
      <w:r w:rsidRPr="00E924F7">
        <w:rPr>
          <w:i/>
          <w:iCs/>
        </w:rPr>
        <w:t xml:space="preserve">Animal Welfare- Potters Bar then Wheathampstead: </w:t>
      </w:r>
      <w:r w:rsidRPr="00E924F7">
        <w:t xml:space="preserve">16-25. </w:t>
      </w:r>
    </w:p>
    <w:p w14:paraId="56987CD8" w14:textId="5B9FB27E" w:rsidR="00E924F7" w:rsidRPr="00E924F7" w:rsidRDefault="00E924F7" w:rsidP="00E924F7">
      <w:proofErr w:type="spellStart"/>
      <w:r w:rsidRPr="00E924F7">
        <w:t>Wemelsfelder</w:t>
      </w:r>
      <w:proofErr w:type="spellEnd"/>
      <w:r w:rsidRPr="00E924F7">
        <w:t xml:space="preserve">, F. &amp; Lawrence, A.B. (2001). Qualitative assessment of animal </w:t>
      </w:r>
      <w:proofErr w:type="spellStart"/>
      <w:r w:rsidRPr="00E924F7">
        <w:t>behaviour</w:t>
      </w:r>
      <w:proofErr w:type="spellEnd"/>
      <w:r w:rsidRPr="00E924F7">
        <w:t xml:space="preserve"> as an on-farm welfare-monitoring tool. </w:t>
      </w:r>
      <w:r w:rsidRPr="00E924F7">
        <w:rPr>
          <w:i/>
          <w:iCs/>
        </w:rPr>
        <w:t xml:space="preserve">Acta </w:t>
      </w:r>
      <w:proofErr w:type="spellStart"/>
      <w:r w:rsidRPr="00E924F7">
        <w:rPr>
          <w:i/>
          <w:iCs/>
        </w:rPr>
        <w:t>Agriculturae</w:t>
      </w:r>
      <w:proofErr w:type="spellEnd"/>
      <w:r w:rsidRPr="00E924F7">
        <w:rPr>
          <w:i/>
          <w:iCs/>
        </w:rPr>
        <w:t xml:space="preserve"> Scandinavica Section A, Animal Science Supplement </w:t>
      </w:r>
      <w:r w:rsidRPr="00E924F7">
        <w:t xml:space="preserve">30:21–25. </w:t>
      </w:r>
    </w:p>
    <w:p w14:paraId="3C1C6D96" w14:textId="77777777" w:rsidR="00E924F7" w:rsidRPr="00E924F7" w:rsidRDefault="00E924F7" w:rsidP="00E924F7">
      <w:r w:rsidRPr="00E924F7">
        <w:t>Whitham, J. C., &amp; Wielebnowski, N. (2009). Animal</w:t>
      </w:r>
      <w:r w:rsidRPr="00E924F7">
        <w:rPr>
          <w:rFonts w:ascii="Cambria Math" w:hAnsi="Cambria Math" w:cs="Cambria Math"/>
        </w:rPr>
        <w:t>‐</w:t>
      </w:r>
      <w:r w:rsidRPr="00E924F7">
        <w:t xml:space="preserve">based welfare monitoring: using keeper ratings as an assessment tool. </w:t>
      </w:r>
      <w:r w:rsidRPr="00E924F7">
        <w:rPr>
          <w:i/>
          <w:iCs/>
        </w:rPr>
        <w:t>Zoo Biology: Published in affiliation with the American Zoo and Aquarium Association</w:t>
      </w:r>
      <w:r w:rsidRPr="00E924F7">
        <w:t xml:space="preserve">, </w:t>
      </w:r>
      <w:r w:rsidRPr="00E924F7">
        <w:rPr>
          <w:i/>
          <w:iCs/>
        </w:rPr>
        <w:t>28</w:t>
      </w:r>
      <w:r w:rsidRPr="00E924F7">
        <w:t xml:space="preserve">(6), 545-560. </w:t>
      </w:r>
    </w:p>
    <w:p w14:paraId="62AC3D56" w14:textId="084CAF13" w:rsidR="00E924F7" w:rsidRPr="00E924F7" w:rsidRDefault="00E924F7" w:rsidP="00E924F7">
      <w:r w:rsidRPr="00E924F7">
        <w:t xml:space="preserve">Wolfensohn, S. &amp; </w:t>
      </w:r>
      <w:proofErr w:type="spellStart"/>
      <w:r w:rsidRPr="00E924F7">
        <w:t>Honess</w:t>
      </w:r>
      <w:proofErr w:type="spellEnd"/>
      <w:r w:rsidRPr="00E924F7">
        <w:t>, P. (2007). Laboratory animal, pet animal, farm animal, wild animal: Which gets the best deal? Animal Welfare 16(S), 117–123.</w:t>
      </w:r>
    </w:p>
    <w:p w14:paraId="52C5227C" w14:textId="77777777" w:rsidR="00E924F7" w:rsidRPr="00E924F7" w:rsidRDefault="00E924F7" w:rsidP="00E924F7"/>
    <w:p w14:paraId="750EC651" w14:textId="208350A9" w:rsidR="00E924F7" w:rsidRDefault="00977DA6">
      <w:pPr>
        <w:rPr>
          <w:u w:val="single"/>
        </w:rPr>
      </w:pPr>
      <w:r w:rsidRPr="00977DA6">
        <w:rPr>
          <w:u w:val="single"/>
        </w:rPr>
        <w:t>Websites</w:t>
      </w:r>
    </w:p>
    <w:p w14:paraId="4A30EAF6" w14:textId="1F65DEF6" w:rsidR="00977DA6" w:rsidRDefault="005A60CC">
      <w:pPr>
        <w:rPr>
          <w:u w:val="single"/>
        </w:rPr>
      </w:pPr>
      <w:hyperlink r:id="rId6" w:history="1">
        <w:r w:rsidRPr="006D3D72">
          <w:rPr>
            <w:rStyle w:val="Hyperlink"/>
          </w:rPr>
          <w:t>https://assets.speakcdn.com/assets/2332/awc_strategic_plan_2024-2027.pdf</w:t>
        </w:r>
      </w:hyperlink>
    </w:p>
    <w:p w14:paraId="37673871" w14:textId="3ABF2DD6" w:rsidR="00B24966" w:rsidRDefault="00B24966">
      <w:pPr>
        <w:rPr>
          <w:u w:val="single"/>
        </w:rPr>
      </w:pPr>
      <w:hyperlink r:id="rId7" w:history="1">
        <w:r w:rsidRPr="006D3D72">
          <w:rPr>
            <w:rStyle w:val="Hyperlink"/>
          </w:rPr>
          <w:t>https://assets.speakcdn.com/assets/2332/aza_animal-wellbeing-strategy.pdf</w:t>
        </w:r>
      </w:hyperlink>
    </w:p>
    <w:p w14:paraId="2C2E816A" w14:textId="67C94DC6" w:rsidR="00D83451" w:rsidRDefault="00D83451">
      <w:pPr>
        <w:rPr>
          <w:u w:val="single"/>
        </w:rPr>
      </w:pPr>
      <w:hyperlink r:id="rId8" w:history="1">
        <w:r w:rsidRPr="006D3D72">
          <w:rPr>
            <w:rStyle w:val="Hyperlink"/>
          </w:rPr>
          <w:t>https://assets.speakcdn.com/assets/2332/aza_animal_wellbeing_guiding_principles.pdf</w:t>
        </w:r>
      </w:hyperlink>
    </w:p>
    <w:p w14:paraId="215AD7E5" w14:textId="0CEEE30E" w:rsidR="00291A79" w:rsidRDefault="00291A79">
      <w:pPr>
        <w:rPr>
          <w:u w:val="single"/>
        </w:rPr>
      </w:pPr>
      <w:hyperlink r:id="rId9" w:history="1">
        <w:r w:rsidRPr="006D3D72">
          <w:rPr>
            <w:rStyle w:val="Hyperlink"/>
          </w:rPr>
          <w:t>https://www.aza.org/animal-wellbeing-culture</w:t>
        </w:r>
      </w:hyperlink>
    </w:p>
    <w:p w14:paraId="3F4B3F6B" w14:textId="57C5AF2E" w:rsidR="00C87F2C" w:rsidRDefault="00C87F2C">
      <w:pPr>
        <w:rPr>
          <w:u w:val="single"/>
        </w:rPr>
      </w:pPr>
      <w:hyperlink r:id="rId10" w:history="1">
        <w:r w:rsidRPr="006D3D72">
          <w:rPr>
            <w:rStyle w:val="Hyperlink"/>
          </w:rPr>
          <w:t>https://assets.speakcdn.com/assets/2332/guide_to_150_assessment_process.pdf</w:t>
        </w:r>
      </w:hyperlink>
    </w:p>
    <w:p w14:paraId="01909FFA" w14:textId="32A6AD18" w:rsidR="00BF35C0" w:rsidRDefault="00BF35C0">
      <w:pPr>
        <w:rPr>
          <w:u w:val="single"/>
        </w:rPr>
      </w:pPr>
      <w:hyperlink r:id="rId11" w:history="1">
        <w:r w:rsidRPr="006D3D72">
          <w:rPr>
            <w:rStyle w:val="Hyperlink"/>
          </w:rPr>
          <w:t>https://www.aza.org/rc-animal-welfare-assessment-process</w:t>
        </w:r>
      </w:hyperlink>
    </w:p>
    <w:p w14:paraId="0C562D13" w14:textId="04F68D1F" w:rsidR="005A60CC" w:rsidRDefault="005A60CC">
      <w:pPr>
        <w:rPr>
          <w:u w:val="single"/>
        </w:rPr>
      </w:pPr>
      <w:hyperlink r:id="rId12" w:history="1">
        <w:r w:rsidRPr="006D3D72">
          <w:rPr>
            <w:rStyle w:val="Hyperlink"/>
          </w:rPr>
          <w:t>https://awag.org.uk/about</w:t>
        </w:r>
      </w:hyperlink>
    </w:p>
    <w:p w14:paraId="123323B7" w14:textId="4DC92D1F" w:rsidR="005A60CC" w:rsidRDefault="00A67E54">
      <w:pPr>
        <w:rPr>
          <w:u w:val="single"/>
        </w:rPr>
      </w:pPr>
      <w:hyperlink r:id="rId13" w:history="1">
        <w:r w:rsidRPr="006D3D72">
          <w:rPr>
            <w:rStyle w:val="Hyperlink"/>
          </w:rPr>
          <w:t>https://welfarefootprint.org/</w:t>
        </w:r>
      </w:hyperlink>
    </w:p>
    <w:p w14:paraId="05A6B16A" w14:textId="77777777" w:rsidR="00A67E54" w:rsidRPr="00977DA6" w:rsidRDefault="00A67E54">
      <w:pPr>
        <w:rPr>
          <w:u w:val="single"/>
        </w:rPr>
      </w:pPr>
    </w:p>
    <w:sectPr w:rsidR="00A67E54" w:rsidRPr="00977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F7"/>
    <w:rsid w:val="00291A79"/>
    <w:rsid w:val="00386617"/>
    <w:rsid w:val="004146E4"/>
    <w:rsid w:val="005A60CC"/>
    <w:rsid w:val="006B4404"/>
    <w:rsid w:val="006E0566"/>
    <w:rsid w:val="00977DA6"/>
    <w:rsid w:val="00A67E54"/>
    <w:rsid w:val="00B24966"/>
    <w:rsid w:val="00BF35C0"/>
    <w:rsid w:val="00C87F2C"/>
    <w:rsid w:val="00D83451"/>
    <w:rsid w:val="00E9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5F5E"/>
  <w15:chartTrackingRefBased/>
  <w15:docId w15:val="{B5C146C9-B0EF-4D3C-AFCE-08F3A38A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24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speakcdn.com/assets/2332/aza_animal_wellbeing_guiding_principles.pdf" TargetMode="External"/><Relationship Id="rId13" Type="http://schemas.openxmlformats.org/officeDocument/2006/relationships/hyperlink" Target="https://welfarefootprint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ssets.speakcdn.com/assets/2332/aza_animal-wellbeing-strategy.pdf" TargetMode="External"/><Relationship Id="rId12" Type="http://schemas.openxmlformats.org/officeDocument/2006/relationships/hyperlink" Target="https://awag.org.uk/abou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sets.speakcdn.com/assets/2332/awc_strategic_plan_2024-2027.pdf" TargetMode="External"/><Relationship Id="rId11" Type="http://schemas.openxmlformats.org/officeDocument/2006/relationships/hyperlink" Target="https://www.aza.org/rc-animal-welfare-assessment-process" TargetMode="External"/><Relationship Id="rId5" Type="http://schemas.openxmlformats.org/officeDocument/2006/relationships/hyperlink" Target="https://doi.org/10.3390/bios1210081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ssets.speakcdn.com/assets/2332/guide_to_150_assessment_process.pdf" TargetMode="External"/><Relationship Id="rId4" Type="http://schemas.openxmlformats.org/officeDocument/2006/relationships/hyperlink" Target="https://doi.org/10.1007/978-3-030-23633-5_5" TargetMode="External"/><Relationship Id="rId9" Type="http://schemas.openxmlformats.org/officeDocument/2006/relationships/hyperlink" Target="https://www.aza.org/animal-wellbeing-cultu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4686</Characters>
  <Application>Microsoft Office Word</Application>
  <DocSecurity>4</DocSecurity>
  <Lines>39</Lines>
  <Paragraphs>10</Paragraphs>
  <ScaleCrop>false</ScaleCrop>
  <Company>State of MN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Katie (She/Her/Hers) (MNZOO)</dc:creator>
  <cp:keywords/>
  <dc:description/>
  <cp:lastModifiedBy>Shannon Wesley</cp:lastModifiedBy>
  <cp:revision>2</cp:revision>
  <dcterms:created xsi:type="dcterms:W3CDTF">2025-08-13T12:26:00Z</dcterms:created>
  <dcterms:modified xsi:type="dcterms:W3CDTF">2025-08-13T12:26:00Z</dcterms:modified>
</cp:coreProperties>
</file>