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AADB" w14:textId="77777777" w:rsidR="00FC546D" w:rsidRPr="00FC546D" w:rsidRDefault="00FC546D" w:rsidP="00D15A12">
      <w:pPr>
        <w:pStyle w:val="Heading1"/>
        <w:jc w:val="center"/>
      </w:pPr>
      <w:r w:rsidRPr="00FC546D">
        <w:t>Fundamental Alteration Protocol</w:t>
      </w:r>
    </w:p>
    <w:p w14:paraId="393577E3" w14:textId="77777777" w:rsidR="00FC546D" w:rsidRDefault="00FC546D" w:rsidP="00FC546D">
      <w:pPr>
        <w:jc w:val="center"/>
      </w:pPr>
      <w:r w:rsidRPr="00FC546D">
        <w:t>Jamie Axelrod</w:t>
      </w:r>
      <w:r w:rsidRPr="00FC546D">
        <w:br/>
        <w:t>Director, Disability Resources</w:t>
      </w:r>
      <w:r w:rsidRPr="00FC546D">
        <w:br/>
        <w:t>ADA Coordinator/504 Compliance Officer</w:t>
      </w:r>
      <w:r w:rsidRPr="00FC546D">
        <w:br/>
        <w:t>Northern Arizona University</w:t>
      </w:r>
      <w:r w:rsidRPr="00FC546D">
        <w:br/>
        <w:t>President, Association on Higher Education and Disability</w:t>
      </w:r>
    </w:p>
    <w:p w14:paraId="534521B2" w14:textId="77777777" w:rsidR="00213B74" w:rsidRDefault="005420ED">
      <w:r w:rsidRPr="005420ED">
        <w:t>If a reasonable basis exists to believe there is a legitimate fundamental alteration question</w:t>
      </w:r>
      <w:r>
        <w:t>,</w:t>
      </w:r>
      <w:r w:rsidRPr="005420ED">
        <w:t xml:space="preserve"> verify that the instructor, department, and/or program have articulated the essential requirements for the course and/or program and provided notice of them to students.</w:t>
      </w:r>
    </w:p>
    <w:p w14:paraId="1E2A8887" w14:textId="77777777" w:rsidR="005420ED" w:rsidRDefault="005420ED">
      <w:r>
        <w:t>Gather a</w:t>
      </w:r>
      <w:r w:rsidRPr="005420ED">
        <w:t xml:space="preserve"> committee of objective persons who collectively are knowledgeable about the academic area, any related licensing requirements, any applicable accreditation for the course of study, the student’s disability, and accommodation methods. The committee </w:t>
      </w:r>
      <w:r>
        <w:t>should</w:t>
      </w:r>
      <w:r w:rsidRPr="005420ED">
        <w:t xml:space="preserve"> not be limited exclusively to individuals from the department that provides the course or program</w:t>
      </w:r>
      <w:r>
        <w:t>.</w:t>
      </w:r>
    </w:p>
    <w:p w14:paraId="60C454DE" w14:textId="77777777" w:rsidR="005420ED" w:rsidRDefault="005420ED">
      <w:r w:rsidRPr="005420ED">
        <w:t xml:space="preserve">The committee </w:t>
      </w:r>
      <w:r>
        <w:t>should</w:t>
      </w:r>
      <w:r w:rsidRPr="005420ED">
        <w:t xml:space="preserve"> identify the objective of the requirement, taking into consideration the information provided by the instructor, program or department concerning essential requirements, including curriculum approval or course creation documents.  The committee will ensure that the requirement is not simply based on tradition or routine practice without direct connection to essential requirements</w:t>
      </w:r>
      <w:r>
        <w:t>.</w:t>
      </w:r>
    </w:p>
    <w:p w14:paraId="66F8C0D5" w14:textId="77777777" w:rsidR="005420ED" w:rsidRDefault="005420ED">
      <w:r w:rsidRPr="005420ED">
        <w:t xml:space="preserve">The committee </w:t>
      </w:r>
      <w:r>
        <w:t>should</w:t>
      </w:r>
      <w:r w:rsidRPr="005420ED">
        <w:t xml:space="preserve"> consider whether the requirement is consistent with similar programs at other educational institutions, and with relevant national and expert guidelines; and whether there is any unique justification for a requirement that is not generally adopted by other educational institutions</w:t>
      </w:r>
      <w:r>
        <w:t>.</w:t>
      </w:r>
    </w:p>
    <w:p w14:paraId="700A92B4" w14:textId="77777777" w:rsidR="005420ED" w:rsidRDefault="005420ED">
      <w:r w:rsidRPr="005420ED">
        <w:t xml:space="preserve">The committee </w:t>
      </w:r>
      <w:r>
        <w:t>should</w:t>
      </w:r>
      <w:r w:rsidRPr="005420ED">
        <w:t xml:space="preserve"> consider information provided by the student relevant to determining whether notice of the essential requirement in question has been provided to the student, and whether the accommodation requested by the student would invalidate the objective of the requirement</w:t>
      </w:r>
      <w:r>
        <w:t>.</w:t>
      </w:r>
    </w:p>
    <w:p w14:paraId="60AAEFBC" w14:textId="77777777" w:rsidR="005420ED" w:rsidRDefault="005420ED">
      <w:r w:rsidRPr="005420ED">
        <w:t xml:space="preserve">The committee </w:t>
      </w:r>
      <w:r>
        <w:t>should</w:t>
      </w:r>
      <w:r w:rsidRPr="005420ED">
        <w:t xml:space="preserve"> determine whether the accommodation requested by the student would invalidate the objective of the requirement.  If not, the accommodation will be implemented</w:t>
      </w:r>
      <w:r>
        <w:t>.</w:t>
      </w:r>
    </w:p>
    <w:p w14:paraId="18BBF251" w14:textId="77777777" w:rsidR="005420ED" w:rsidRDefault="005420ED">
      <w:r w:rsidRPr="005420ED">
        <w:t>If the requested accommodation would invalidate the objective of the requirement, the committee (or designated members) will promptly and diligently search for alternate accommodations in consultation with the faculty member, D</w:t>
      </w:r>
      <w:r>
        <w:t>R</w:t>
      </w:r>
      <w:r w:rsidRPr="005420ED">
        <w:t xml:space="preserve">, </w:t>
      </w:r>
      <w:r>
        <w:t xml:space="preserve">program </w:t>
      </w:r>
      <w:r w:rsidRPr="005420ED">
        <w:t>and the student</w:t>
      </w:r>
      <w:r>
        <w:t>.</w:t>
      </w:r>
    </w:p>
    <w:p w14:paraId="7D4BB9EE" w14:textId="77777777" w:rsidR="005420ED" w:rsidRPr="005420ED" w:rsidRDefault="005420ED" w:rsidP="005420ED">
      <w:r w:rsidRPr="005420ED">
        <w:t xml:space="preserve">The committee </w:t>
      </w:r>
      <w:r>
        <w:t>should</w:t>
      </w:r>
      <w:r w:rsidRPr="005420ED">
        <w:t xml:space="preserve"> address the following: </w:t>
      </w:r>
    </w:p>
    <w:p w14:paraId="5D28DB9E" w14:textId="77777777" w:rsidR="00585F52" w:rsidRPr="005420ED" w:rsidRDefault="001E6308" w:rsidP="005420ED">
      <w:pPr>
        <w:numPr>
          <w:ilvl w:val="1"/>
          <w:numId w:val="2"/>
        </w:numPr>
      </w:pPr>
      <w:r w:rsidRPr="005420ED">
        <w:t>Are there alternate ways that the student can acquire or demonstrate mastery of the skill that would meet the same fundamental objectives of the course or program?</w:t>
      </w:r>
    </w:p>
    <w:p w14:paraId="037E157E" w14:textId="77777777" w:rsidR="00585F52" w:rsidRPr="005420ED" w:rsidRDefault="001E6308" w:rsidP="005420ED">
      <w:pPr>
        <w:numPr>
          <w:ilvl w:val="1"/>
          <w:numId w:val="2"/>
        </w:numPr>
      </w:pPr>
      <w:r w:rsidRPr="005420ED">
        <w:t>Have we diligently searched for potential alternatives?</w:t>
      </w:r>
    </w:p>
    <w:p w14:paraId="170B3521" w14:textId="77777777" w:rsidR="00585F52" w:rsidRPr="005420ED" w:rsidRDefault="001E6308" w:rsidP="005420ED">
      <w:pPr>
        <w:numPr>
          <w:ilvl w:val="1"/>
          <w:numId w:val="2"/>
        </w:numPr>
      </w:pPr>
      <w:r w:rsidRPr="005420ED">
        <w:t>Have we included all the necessary people in this search?</w:t>
      </w:r>
    </w:p>
    <w:p w14:paraId="2401E8DD" w14:textId="77777777" w:rsidR="005420ED" w:rsidRDefault="005420ED" w:rsidP="005420ED">
      <w:pPr>
        <w:pStyle w:val="ListParagraph"/>
        <w:numPr>
          <w:ilvl w:val="1"/>
          <w:numId w:val="2"/>
        </w:numPr>
      </w:pPr>
      <w:r w:rsidRPr="005420ED">
        <w:lastRenderedPageBreak/>
        <w:t>Have we identified whether other postsecondary institutions have identified alternatives that achieve the objectives of the College without fundamentally altering requirements?</w:t>
      </w:r>
    </w:p>
    <w:p w14:paraId="784F30C3" w14:textId="77777777" w:rsidR="005420ED" w:rsidRDefault="005420ED" w:rsidP="005420ED">
      <w:r>
        <w:t xml:space="preserve">If the committee has </w:t>
      </w:r>
      <w:r w:rsidRPr="005420ED">
        <w:t>explore</w:t>
      </w:r>
      <w:r>
        <w:t>d</w:t>
      </w:r>
      <w:r w:rsidRPr="005420ED">
        <w:t xml:space="preserve"> this issue</w:t>
      </w:r>
      <w:r>
        <w:t xml:space="preserve"> </w:t>
      </w:r>
      <w:r w:rsidRPr="005420ED">
        <w:t>in a well-reasoned manner, without resort to a pretext for discrimination</w:t>
      </w:r>
      <w:r>
        <w:t>, believes the accommodation would fundamentally alter the essential elements of the course or program and no reasonable alternative accommodations exist</w:t>
      </w:r>
      <w:r w:rsidR="001E6308">
        <w:t>, then the accommodation can be denied.</w:t>
      </w:r>
    </w:p>
    <w:p w14:paraId="57576BBD" w14:textId="77777777" w:rsidR="0068292B" w:rsidRDefault="0068292B" w:rsidP="005420ED"/>
    <w:p w14:paraId="089AFB0A" w14:textId="77777777" w:rsidR="0068292B" w:rsidRDefault="0068292B" w:rsidP="005420ED"/>
    <w:p w14:paraId="7A347B96" w14:textId="77777777" w:rsidR="0068292B" w:rsidRDefault="0068292B" w:rsidP="005420ED"/>
    <w:p w14:paraId="3069F796" w14:textId="77777777" w:rsidR="0068292B" w:rsidRDefault="0068292B" w:rsidP="005420ED"/>
    <w:p w14:paraId="110E97D0" w14:textId="4A761E01" w:rsidR="00D15A12" w:rsidRDefault="00D15A12" w:rsidP="005420ED">
      <w:r>
        <w:t xml:space="preserve">Permission to </w:t>
      </w:r>
      <w:proofErr w:type="gramStart"/>
      <w:r>
        <w:t>post:</w:t>
      </w:r>
      <w:proofErr w:type="gramEnd"/>
      <w:r>
        <w:t xml:space="preserve"> granted by author, 04.22.18</w:t>
      </w:r>
    </w:p>
    <w:sectPr w:rsidR="00D1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62E9"/>
    <w:multiLevelType w:val="hybridMultilevel"/>
    <w:tmpl w:val="A6DC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D6664"/>
    <w:multiLevelType w:val="hybridMultilevel"/>
    <w:tmpl w:val="9EA80B52"/>
    <w:lvl w:ilvl="0" w:tplc="B18854FE">
      <w:start w:val="1"/>
      <w:numFmt w:val="bullet"/>
      <w:lvlText w:val="–"/>
      <w:lvlJc w:val="left"/>
      <w:pPr>
        <w:tabs>
          <w:tab w:val="num" w:pos="720"/>
        </w:tabs>
        <w:ind w:left="720" w:hanging="360"/>
      </w:pPr>
      <w:rPr>
        <w:rFonts w:ascii="Arial" w:hAnsi="Arial" w:hint="default"/>
      </w:rPr>
    </w:lvl>
    <w:lvl w:ilvl="1" w:tplc="11C88230">
      <w:start w:val="1"/>
      <w:numFmt w:val="bullet"/>
      <w:lvlText w:val="–"/>
      <w:lvlJc w:val="left"/>
      <w:pPr>
        <w:tabs>
          <w:tab w:val="num" w:pos="1440"/>
        </w:tabs>
        <w:ind w:left="1440" w:hanging="360"/>
      </w:pPr>
      <w:rPr>
        <w:rFonts w:ascii="Arial" w:hAnsi="Arial" w:hint="default"/>
      </w:rPr>
    </w:lvl>
    <w:lvl w:ilvl="2" w:tplc="D37CE0DE" w:tentative="1">
      <w:start w:val="1"/>
      <w:numFmt w:val="bullet"/>
      <w:lvlText w:val="–"/>
      <w:lvlJc w:val="left"/>
      <w:pPr>
        <w:tabs>
          <w:tab w:val="num" w:pos="2160"/>
        </w:tabs>
        <w:ind w:left="2160" w:hanging="360"/>
      </w:pPr>
      <w:rPr>
        <w:rFonts w:ascii="Arial" w:hAnsi="Arial" w:hint="default"/>
      </w:rPr>
    </w:lvl>
    <w:lvl w:ilvl="3" w:tplc="2DEADE5A" w:tentative="1">
      <w:start w:val="1"/>
      <w:numFmt w:val="bullet"/>
      <w:lvlText w:val="–"/>
      <w:lvlJc w:val="left"/>
      <w:pPr>
        <w:tabs>
          <w:tab w:val="num" w:pos="2880"/>
        </w:tabs>
        <w:ind w:left="2880" w:hanging="360"/>
      </w:pPr>
      <w:rPr>
        <w:rFonts w:ascii="Arial" w:hAnsi="Arial" w:hint="default"/>
      </w:rPr>
    </w:lvl>
    <w:lvl w:ilvl="4" w:tplc="A4F4C5C0" w:tentative="1">
      <w:start w:val="1"/>
      <w:numFmt w:val="bullet"/>
      <w:lvlText w:val="–"/>
      <w:lvlJc w:val="left"/>
      <w:pPr>
        <w:tabs>
          <w:tab w:val="num" w:pos="3600"/>
        </w:tabs>
        <w:ind w:left="3600" w:hanging="360"/>
      </w:pPr>
      <w:rPr>
        <w:rFonts w:ascii="Arial" w:hAnsi="Arial" w:hint="default"/>
      </w:rPr>
    </w:lvl>
    <w:lvl w:ilvl="5" w:tplc="F2CACDF4" w:tentative="1">
      <w:start w:val="1"/>
      <w:numFmt w:val="bullet"/>
      <w:lvlText w:val="–"/>
      <w:lvlJc w:val="left"/>
      <w:pPr>
        <w:tabs>
          <w:tab w:val="num" w:pos="4320"/>
        </w:tabs>
        <w:ind w:left="4320" w:hanging="360"/>
      </w:pPr>
      <w:rPr>
        <w:rFonts w:ascii="Arial" w:hAnsi="Arial" w:hint="default"/>
      </w:rPr>
    </w:lvl>
    <w:lvl w:ilvl="6" w:tplc="94309B16" w:tentative="1">
      <w:start w:val="1"/>
      <w:numFmt w:val="bullet"/>
      <w:lvlText w:val="–"/>
      <w:lvlJc w:val="left"/>
      <w:pPr>
        <w:tabs>
          <w:tab w:val="num" w:pos="5040"/>
        </w:tabs>
        <w:ind w:left="5040" w:hanging="360"/>
      </w:pPr>
      <w:rPr>
        <w:rFonts w:ascii="Arial" w:hAnsi="Arial" w:hint="default"/>
      </w:rPr>
    </w:lvl>
    <w:lvl w:ilvl="7" w:tplc="2330620A" w:tentative="1">
      <w:start w:val="1"/>
      <w:numFmt w:val="bullet"/>
      <w:lvlText w:val="–"/>
      <w:lvlJc w:val="left"/>
      <w:pPr>
        <w:tabs>
          <w:tab w:val="num" w:pos="5760"/>
        </w:tabs>
        <w:ind w:left="5760" w:hanging="360"/>
      </w:pPr>
      <w:rPr>
        <w:rFonts w:ascii="Arial" w:hAnsi="Arial" w:hint="default"/>
      </w:rPr>
    </w:lvl>
    <w:lvl w:ilvl="8" w:tplc="B630EBD6" w:tentative="1">
      <w:start w:val="1"/>
      <w:numFmt w:val="bullet"/>
      <w:lvlText w:val="–"/>
      <w:lvlJc w:val="left"/>
      <w:pPr>
        <w:tabs>
          <w:tab w:val="num" w:pos="6480"/>
        </w:tabs>
        <w:ind w:left="6480" w:hanging="360"/>
      </w:pPr>
      <w:rPr>
        <w:rFonts w:ascii="Arial" w:hAnsi="Arial" w:hint="default"/>
      </w:rPr>
    </w:lvl>
  </w:abstractNum>
  <w:num w:numId="1" w16cid:durableId="705562062">
    <w:abstractNumId w:val="1"/>
  </w:num>
  <w:num w:numId="2" w16cid:durableId="139496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ED"/>
    <w:rsid w:val="000D5C17"/>
    <w:rsid w:val="00186222"/>
    <w:rsid w:val="001E6308"/>
    <w:rsid w:val="00394486"/>
    <w:rsid w:val="005420ED"/>
    <w:rsid w:val="00547D91"/>
    <w:rsid w:val="00585F52"/>
    <w:rsid w:val="0068292B"/>
    <w:rsid w:val="00695C34"/>
    <w:rsid w:val="00815B7B"/>
    <w:rsid w:val="00C759CF"/>
    <w:rsid w:val="00D15A12"/>
    <w:rsid w:val="00FC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2287"/>
  <w15:chartTrackingRefBased/>
  <w15:docId w15:val="{30665DE9-D4DC-4CB9-8C9E-9773A09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ED"/>
    <w:pPr>
      <w:ind w:left="720"/>
      <w:contextualSpacing/>
    </w:pPr>
  </w:style>
  <w:style w:type="character" w:customStyle="1" w:styleId="Heading1Char">
    <w:name w:val="Heading 1 Char"/>
    <w:basedOn w:val="DefaultParagraphFont"/>
    <w:link w:val="Heading1"/>
    <w:uiPriority w:val="9"/>
    <w:rsid w:val="00D15A1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8700">
      <w:bodyDiv w:val="1"/>
      <w:marLeft w:val="0"/>
      <w:marRight w:val="0"/>
      <w:marTop w:val="0"/>
      <w:marBottom w:val="0"/>
      <w:divBdr>
        <w:top w:val="none" w:sz="0" w:space="0" w:color="auto"/>
        <w:left w:val="none" w:sz="0" w:space="0" w:color="auto"/>
        <w:bottom w:val="none" w:sz="0" w:space="0" w:color="auto"/>
        <w:right w:val="none" w:sz="0" w:space="0" w:color="auto"/>
      </w:divBdr>
      <w:divsChild>
        <w:div w:id="549612401">
          <w:marLeft w:val="0"/>
          <w:marRight w:val="0"/>
          <w:marTop w:val="0"/>
          <w:marBottom w:val="0"/>
          <w:divBdr>
            <w:top w:val="none" w:sz="0" w:space="0" w:color="auto"/>
            <w:left w:val="none" w:sz="0" w:space="0" w:color="auto"/>
            <w:bottom w:val="none" w:sz="0" w:space="0" w:color="auto"/>
            <w:right w:val="none" w:sz="0" w:space="0" w:color="auto"/>
          </w:divBdr>
        </w:div>
      </w:divsChild>
    </w:div>
    <w:div w:id="459500588">
      <w:bodyDiv w:val="1"/>
      <w:marLeft w:val="0"/>
      <w:marRight w:val="0"/>
      <w:marTop w:val="0"/>
      <w:marBottom w:val="0"/>
      <w:divBdr>
        <w:top w:val="none" w:sz="0" w:space="0" w:color="auto"/>
        <w:left w:val="none" w:sz="0" w:space="0" w:color="auto"/>
        <w:bottom w:val="none" w:sz="0" w:space="0" w:color="auto"/>
        <w:right w:val="none" w:sz="0" w:space="0" w:color="auto"/>
      </w:divBdr>
      <w:divsChild>
        <w:div w:id="922376225">
          <w:marLeft w:val="1166"/>
          <w:marRight w:val="0"/>
          <w:marTop w:val="125"/>
          <w:marBottom w:val="0"/>
          <w:divBdr>
            <w:top w:val="none" w:sz="0" w:space="0" w:color="auto"/>
            <w:left w:val="none" w:sz="0" w:space="0" w:color="auto"/>
            <w:bottom w:val="none" w:sz="0" w:space="0" w:color="auto"/>
            <w:right w:val="none" w:sz="0" w:space="0" w:color="auto"/>
          </w:divBdr>
        </w:div>
        <w:div w:id="943265320">
          <w:marLeft w:val="1166"/>
          <w:marRight w:val="0"/>
          <w:marTop w:val="125"/>
          <w:marBottom w:val="0"/>
          <w:divBdr>
            <w:top w:val="none" w:sz="0" w:space="0" w:color="auto"/>
            <w:left w:val="none" w:sz="0" w:space="0" w:color="auto"/>
            <w:bottom w:val="none" w:sz="0" w:space="0" w:color="auto"/>
            <w:right w:val="none" w:sz="0" w:space="0" w:color="auto"/>
          </w:divBdr>
        </w:div>
        <w:div w:id="1183668918">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 Alteration Protocol </dc:title>
  <dc:subject/>
  <dc:creator>Jamie Axelrod</dc:creator>
  <cp:keywords>fundamental alteration of a course</cp:keywords>
  <dc:description/>
  <cp:lastModifiedBy>Elisa Laird</cp:lastModifiedBy>
  <cp:revision>2</cp:revision>
  <cp:lastPrinted>2021-05-27T22:42:00Z</cp:lastPrinted>
  <dcterms:created xsi:type="dcterms:W3CDTF">2022-10-14T18:25:00Z</dcterms:created>
  <dcterms:modified xsi:type="dcterms:W3CDTF">2022-10-14T18:25:00Z</dcterms:modified>
</cp:coreProperties>
</file>