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51E96" w14:textId="77777777" w:rsidR="00A17358" w:rsidRDefault="008F0B02" w:rsidP="00B448FA">
      <w:pPr>
        <w:pStyle w:val="Heading1"/>
        <w:spacing w:before="0" w:line="240" w:lineRule="auto"/>
      </w:pPr>
      <w:r>
        <w:t>Grant Proposal: AI for All – Empowering Rural Adults for the Future of Work</w:t>
      </w:r>
    </w:p>
    <w:p w14:paraId="57734CC3" w14:textId="77777777" w:rsidR="00A17358" w:rsidRPr="00B448FA" w:rsidRDefault="008F0B02" w:rsidP="00B448FA">
      <w:pPr>
        <w:pStyle w:val="Heading2"/>
        <w:spacing w:before="0" w:line="240" w:lineRule="auto"/>
        <w:rPr>
          <w:color w:val="244061" w:themeColor="accent1" w:themeShade="80"/>
        </w:rPr>
      </w:pPr>
      <w:r w:rsidRPr="00B448FA">
        <w:rPr>
          <w:color w:val="244061" w:themeColor="accent1" w:themeShade="80"/>
        </w:rPr>
        <w:t>Problem Statement</w:t>
      </w:r>
    </w:p>
    <w:p w14:paraId="151FC2BF" w14:textId="77777777" w:rsidR="00B448FA" w:rsidRDefault="00B448FA" w:rsidP="00B448FA">
      <w:pPr>
        <w:spacing w:after="0" w:line="240" w:lineRule="auto"/>
      </w:pPr>
    </w:p>
    <w:p w14:paraId="64E18549" w14:textId="77777777" w:rsidR="00B448FA" w:rsidRDefault="008F0B02" w:rsidP="00B448FA">
      <w:pPr>
        <w:spacing w:after="0" w:line="240" w:lineRule="auto"/>
      </w:pPr>
      <w:r>
        <w:t>Tennessee’s economy has undergone significant transformation over the past decade, particularly in its three most populous counties: Davidson (Nashville), Shelby (Memphis), and Knox (Knoxville). While the state has maintained relatively low unemployment rates—averaging around 3.6% in early 2025—this figure masks deeper structural shifts in the labor market.</w:t>
      </w:r>
    </w:p>
    <w:p w14:paraId="6EFF7069" w14:textId="77777777" w:rsidR="00B448FA" w:rsidRDefault="00B448FA" w:rsidP="00B448FA">
      <w:pPr>
        <w:spacing w:after="0" w:line="240" w:lineRule="auto"/>
      </w:pPr>
    </w:p>
    <w:p w14:paraId="05245EE9" w14:textId="77777777" w:rsidR="00B448FA" w:rsidRDefault="008F0B02" w:rsidP="00B448FA">
      <w:pPr>
        <w:spacing w:after="0" w:line="240" w:lineRule="auto"/>
      </w:pPr>
      <w:r>
        <w:t>In Davidson County, employment is increasingly concentrated in healthcare and professional services, while Shelby County has seen a decline in traditional manufacturing and logistics roles. Knox County, despite leading the state in employment growth at 2.2% in 2024, is also experiencing a shift toward service-oriented and tech-enabled jobs.</w:t>
      </w:r>
    </w:p>
    <w:p w14:paraId="110AD358" w14:textId="77777777" w:rsidR="00B448FA" w:rsidRDefault="00B448FA" w:rsidP="00B448FA">
      <w:pPr>
        <w:spacing w:after="0" w:line="240" w:lineRule="auto"/>
      </w:pPr>
    </w:p>
    <w:p w14:paraId="1752EB07" w14:textId="77777777" w:rsidR="00B448FA" w:rsidRDefault="008F0B02" w:rsidP="00B448FA">
      <w:pPr>
        <w:spacing w:after="0" w:line="240" w:lineRule="auto"/>
      </w:pPr>
      <w:r>
        <w:t>The agricultural sector, once a cornerstone of rural employment, has been steadily declining due to automation, consolidation, and climate-related challenges. Many adults aged 45–60 in rural areas surrounding these urban centers have been displaced from farming and related industries. These individuals often lack the digital literacy and technical skills required to transition into emerging roles in logistics, healthcare support, customer service, and remote work.</w:t>
      </w:r>
    </w:p>
    <w:p w14:paraId="59984CC9" w14:textId="77777777" w:rsidR="00B448FA" w:rsidRDefault="00B448FA" w:rsidP="00B448FA">
      <w:pPr>
        <w:spacing w:after="0" w:line="240" w:lineRule="auto"/>
      </w:pPr>
    </w:p>
    <w:p w14:paraId="5757ECF2" w14:textId="77777777" w:rsidR="00B448FA" w:rsidRDefault="008F0B02" w:rsidP="00B448FA">
      <w:pPr>
        <w:spacing w:after="0" w:line="240" w:lineRule="auto"/>
      </w:pPr>
      <w:r>
        <w:t xml:space="preserve">Meanwhile, Tennessee’s economic development strategy increasingly emphasizes technology adoption and digital transformation. The rise of Generative AI—tools like Microsoft Copilot and ChatGPT—presents a unique opportunity to reskill this population for the future of work. However, without targeted intervention, these </w:t>
      </w:r>
      <w:proofErr w:type="gramStart"/>
      <w:r>
        <w:t>adults</w:t>
      </w:r>
      <w:proofErr w:type="gramEnd"/>
      <w:r>
        <w:t xml:space="preserve"> risk being permanently excluded from the digital economy.</w:t>
      </w:r>
    </w:p>
    <w:p w14:paraId="5A2B94E9" w14:textId="77777777" w:rsidR="00B448FA" w:rsidRDefault="00B448FA" w:rsidP="00B448FA">
      <w:pPr>
        <w:spacing w:after="0" w:line="240" w:lineRule="auto"/>
      </w:pPr>
    </w:p>
    <w:p w14:paraId="780CA335" w14:textId="77777777" w:rsidR="00B448FA" w:rsidRDefault="008F0B02" w:rsidP="00B448FA">
      <w:pPr>
        <w:spacing w:after="0" w:line="240" w:lineRule="auto"/>
      </w:pPr>
      <w:r>
        <w:t>This program addresses that gap by providing foundational digital skills, introducing participants to AI tools, and preparing them for entry-level tech-enabled roles. By focusing on practical applications of AI in industries relevant to Tennessee’s economy, the program ensures that participants are not only trained but also connected to real employment pathways.</w:t>
      </w:r>
    </w:p>
    <w:p w14:paraId="7D54C0BC" w14:textId="54FC8F27" w:rsidR="00A17358" w:rsidRDefault="00A17358" w:rsidP="00B448FA">
      <w:pPr>
        <w:spacing w:after="0" w:line="240" w:lineRule="auto"/>
      </w:pPr>
    </w:p>
    <w:p w14:paraId="3772DBB7" w14:textId="77777777" w:rsidR="00A17358" w:rsidRPr="00B448FA" w:rsidRDefault="008F0B02" w:rsidP="00B448FA">
      <w:pPr>
        <w:pStyle w:val="Heading2"/>
        <w:spacing w:before="0" w:line="240" w:lineRule="auto"/>
        <w:rPr>
          <w:color w:val="244061" w:themeColor="accent1" w:themeShade="80"/>
        </w:rPr>
      </w:pPr>
      <w:r w:rsidRPr="00B448FA">
        <w:rPr>
          <w:color w:val="244061" w:themeColor="accent1" w:themeShade="80"/>
        </w:rPr>
        <w:t>Detailed Program Activities by Phase</w:t>
      </w:r>
    </w:p>
    <w:p w14:paraId="4C63D937" w14:textId="77777777" w:rsidR="00A17358" w:rsidRPr="00B448FA" w:rsidRDefault="008F0B02" w:rsidP="00B448FA">
      <w:pPr>
        <w:pStyle w:val="Heading3"/>
        <w:spacing w:before="0" w:line="240" w:lineRule="auto"/>
        <w:rPr>
          <w:color w:val="244061" w:themeColor="accent1" w:themeShade="80"/>
        </w:rPr>
      </w:pPr>
      <w:r w:rsidRPr="00B448FA">
        <w:rPr>
          <w:color w:val="244061" w:themeColor="accent1" w:themeShade="80"/>
        </w:rPr>
        <w:t>Phase 1: Digital Foundations (Weeks 1–4)</w:t>
      </w:r>
    </w:p>
    <w:p w14:paraId="3D78A838" w14:textId="77777777" w:rsidR="00B448FA" w:rsidRDefault="00B448FA" w:rsidP="00B448FA">
      <w:pPr>
        <w:spacing w:after="0" w:line="240" w:lineRule="auto"/>
      </w:pPr>
    </w:p>
    <w:p w14:paraId="47C37642" w14:textId="77777777" w:rsidR="00B448FA" w:rsidRDefault="008F0B02" w:rsidP="00B448FA">
      <w:pPr>
        <w:spacing w:after="0" w:line="240" w:lineRule="auto"/>
      </w:pPr>
      <w:r>
        <w:t>Purpose: Build confidence and competence in basic digital skills.</w:t>
      </w:r>
    </w:p>
    <w:p w14:paraId="007A707A" w14:textId="77777777" w:rsidR="00B448FA" w:rsidRDefault="00B448FA" w:rsidP="00B448FA">
      <w:pPr>
        <w:spacing w:after="0" w:line="240" w:lineRule="auto"/>
      </w:pPr>
    </w:p>
    <w:p w14:paraId="625E2FD8" w14:textId="77777777" w:rsidR="00B448FA" w:rsidRDefault="008F0B02" w:rsidP="00B448FA">
      <w:pPr>
        <w:spacing w:after="0" w:line="240" w:lineRule="auto"/>
      </w:pPr>
      <w:r>
        <w:t>Activities:</w:t>
      </w:r>
    </w:p>
    <w:p w14:paraId="074ADE10" w14:textId="77777777" w:rsidR="00B448FA" w:rsidRDefault="008F0B02" w:rsidP="00B448FA">
      <w:pPr>
        <w:spacing w:after="0" w:line="240" w:lineRule="auto"/>
      </w:pPr>
      <w:r>
        <w:t>1. Digital Literacy Bootcamp</w:t>
      </w:r>
    </w:p>
    <w:p w14:paraId="506DFABE" w14:textId="77777777" w:rsidR="00B448FA" w:rsidRDefault="008F0B02" w:rsidP="00B448FA">
      <w:pPr>
        <w:spacing w:after="0" w:line="240" w:lineRule="auto"/>
      </w:pPr>
      <w:r>
        <w:t xml:space="preserve">   - What: Hands-on sessions covering computer basics, email, file management, and internet safety.</w:t>
      </w:r>
    </w:p>
    <w:p w14:paraId="796A8267" w14:textId="77777777" w:rsidR="00B448FA" w:rsidRDefault="008F0B02" w:rsidP="00B448FA">
      <w:pPr>
        <w:spacing w:after="0" w:line="240" w:lineRule="auto"/>
      </w:pPr>
      <w:r>
        <w:t xml:space="preserve">   - How: Small group </w:t>
      </w:r>
      <w:proofErr w:type="gramStart"/>
      <w:r>
        <w:t>instruction</w:t>
      </w:r>
      <w:proofErr w:type="gramEnd"/>
      <w:r>
        <w:t xml:space="preserve"> with laptops provided; peer mentors assist.</w:t>
      </w:r>
    </w:p>
    <w:p w14:paraId="1FD25E6D" w14:textId="77777777" w:rsidR="00B448FA" w:rsidRDefault="008F0B02" w:rsidP="00B448FA">
      <w:pPr>
        <w:spacing w:after="0" w:line="240" w:lineRule="auto"/>
      </w:pPr>
      <w:r>
        <w:t xml:space="preserve">   - Why: Establishes baseline skills needed for AI tools and online work.</w:t>
      </w:r>
    </w:p>
    <w:p w14:paraId="359CEE5F" w14:textId="77777777" w:rsidR="00B448FA" w:rsidRDefault="00B448FA" w:rsidP="00B448FA">
      <w:pPr>
        <w:spacing w:after="0" w:line="240" w:lineRule="auto"/>
      </w:pPr>
    </w:p>
    <w:p w14:paraId="7DDD58FA" w14:textId="77777777" w:rsidR="00B448FA" w:rsidRDefault="008F0B02" w:rsidP="00B448FA">
      <w:pPr>
        <w:spacing w:after="0" w:line="240" w:lineRule="auto"/>
      </w:pPr>
      <w:r>
        <w:t>2. Microsoft 365 Essentials</w:t>
      </w:r>
    </w:p>
    <w:p w14:paraId="5F89E272" w14:textId="77777777" w:rsidR="00B448FA" w:rsidRDefault="008F0B02" w:rsidP="00B448FA">
      <w:pPr>
        <w:spacing w:after="0" w:line="240" w:lineRule="auto"/>
      </w:pPr>
      <w:r>
        <w:t xml:space="preserve">   - What: Introduction to Word, Excel, Outlook, and Teams.</w:t>
      </w:r>
    </w:p>
    <w:p w14:paraId="539573E5" w14:textId="77777777" w:rsidR="00B448FA" w:rsidRDefault="008F0B02" w:rsidP="00B448FA">
      <w:pPr>
        <w:spacing w:after="0" w:line="240" w:lineRule="auto"/>
      </w:pPr>
      <w:r>
        <w:t xml:space="preserve">   - How: Scenario-based learning (e.g., writing a resume, creating a budget).</w:t>
      </w:r>
    </w:p>
    <w:p w14:paraId="42A5227A" w14:textId="77777777" w:rsidR="00B448FA" w:rsidRDefault="008F0B02" w:rsidP="00B448FA">
      <w:pPr>
        <w:spacing w:after="0" w:line="240" w:lineRule="auto"/>
      </w:pPr>
      <w:r>
        <w:t xml:space="preserve">   - Why: Prepares participants for workplace communication and documentation.</w:t>
      </w:r>
    </w:p>
    <w:p w14:paraId="2D90F5BD" w14:textId="278C0B95" w:rsidR="00A17358" w:rsidRDefault="00A17358" w:rsidP="00B448FA">
      <w:pPr>
        <w:spacing w:after="0" w:line="240" w:lineRule="auto"/>
      </w:pPr>
    </w:p>
    <w:p w14:paraId="2D301693" w14:textId="77777777" w:rsidR="00A17358" w:rsidRPr="00B448FA" w:rsidRDefault="008F0B02" w:rsidP="00B448FA">
      <w:pPr>
        <w:pStyle w:val="Heading3"/>
        <w:spacing w:before="0" w:line="240" w:lineRule="auto"/>
        <w:rPr>
          <w:color w:val="244061" w:themeColor="accent1" w:themeShade="80"/>
        </w:rPr>
      </w:pPr>
      <w:r w:rsidRPr="00B448FA">
        <w:rPr>
          <w:color w:val="244061" w:themeColor="accent1" w:themeShade="80"/>
        </w:rPr>
        <w:t>Phase 2: Introduction to Generative AI (Weeks 5–8)</w:t>
      </w:r>
    </w:p>
    <w:p w14:paraId="323E0AE7" w14:textId="77777777" w:rsidR="00B448FA" w:rsidRDefault="00B448FA" w:rsidP="00B448FA">
      <w:pPr>
        <w:spacing w:after="0" w:line="240" w:lineRule="auto"/>
      </w:pPr>
    </w:p>
    <w:p w14:paraId="39500582" w14:textId="77777777" w:rsidR="00B448FA" w:rsidRDefault="008F0B02" w:rsidP="00B448FA">
      <w:pPr>
        <w:spacing w:after="0" w:line="240" w:lineRule="auto"/>
      </w:pPr>
      <w:r>
        <w:t>Purpose: Demystify AI and show its relevance to daily life and work.</w:t>
      </w:r>
    </w:p>
    <w:p w14:paraId="0FFCD6D8" w14:textId="77777777" w:rsidR="00B448FA" w:rsidRDefault="00B448FA" w:rsidP="00B448FA">
      <w:pPr>
        <w:spacing w:after="0" w:line="240" w:lineRule="auto"/>
      </w:pPr>
    </w:p>
    <w:p w14:paraId="0D47A0B3" w14:textId="77777777" w:rsidR="00B448FA" w:rsidRDefault="008F0B02" w:rsidP="00B448FA">
      <w:pPr>
        <w:spacing w:after="0" w:line="240" w:lineRule="auto"/>
      </w:pPr>
      <w:r>
        <w:t>Activities:</w:t>
      </w:r>
    </w:p>
    <w:p w14:paraId="07405792" w14:textId="77777777" w:rsidR="00B448FA" w:rsidRDefault="008F0B02" w:rsidP="00B448FA">
      <w:pPr>
        <w:spacing w:after="0" w:line="240" w:lineRule="auto"/>
      </w:pPr>
      <w:r>
        <w:t>1. AI in Everyday Life</w:t>
      </w:r>
    </w:p>
    <w:p w14:paraId="32FA718A" w14:textId="77777777" w:rsidR="00B448FA" w:rsidRDefault="008F0B02" w:rsidP="00B448FA">
      <w:pPr>
        <w:spacing w:after="0" w:line="240" w:lineRule="auto"/>
      </w:pPr>
      <w:r>
        <w:t xml:space="preserve">   - What: Interactive demos of ChatGPT, Copilot, and image generators.</w:t>
      </w:r>
    </w:p>
    <w:p w14:paraId="2BE1617A" w14:textId="77777777" w:rsidR="00B448FA" w:rsidRDefault="008F0B02" w:rsidP="00B448FA">
      <w:pPr>
        <w:spacing w:after="0" w:line="240" w:lineRule="auto"/>
      </w:pPr>
      <w:r>
        <w:lastRenderedPageBreak/>
        <w:t xml:space="preserve">   - How: Participants ask questions, generate stories, and explore AI outputs.</w:t>
      </w:r>
    </w:p>
    <w:p w14:paraId="46F2F3C3" w14:textId="77777777" w:rsidR="00B448FA" w:rsidRDefault="008F0B02" w:rsidP="00B448FA">
      <w:pPr>
        <w:spacing w:after="0" w:line="240" w:lineRule="auto"/>
      </w:pPr>
      <w:r>
        <w:t xml:space="preserve">   - Why: Builds curiosity and reduces fear of AI.</w:t>
      </w:r>
    </w:p>
    <w:p w14:paraId="1926328C" w14:textId="77777777" w:rsidR="00B448FA" w:rsidRDefault="00B448FA" w:rsidP="00B448FA">
      <w:pPr>
        <w:spacing w:after="0" w:line="240" w:lineRule="auto"/>
      </w:pPr>
    </w:p>
    <w:p w14:paraId="3508B8D0" w14:textId="77777777" w:rsidR="00B448FA" w:rsidRDefault="008F0B02" w:rsidP="00B448FA">
      <w:pPr>
        <w:spacing w:after="0" w:line="240" w:lineRule="auto"/>
      </w:pPr>
      <w:r>
        <w:t>2. AI in Tennessee Industries</w:t>
      </w:r>
    </w:p>
    <w:p w14:paraId="5DCAD2A0" w14:textId="77777777" w:rsidR="00B448FA" w:rsidRDefault="008F0B02" w:rsidP="00B448FA">
      <w:pPr>
        <w:spacing w:after="0" w:line="240" w:lineRule="auto"/>
      </w:pPr>
      <w:r>
        <w:t xml:space="preserve">   - What: Case studies of AI in agriculture, logistics, and healthcare.</w:t>
      </w:r>
    </w:p>
    <w:p w14:paraId="7EA0593A" w14:textId="77777777" w:rsidR="00B448FA" w:rsidRDefault="008F0B02" w:rsidP="00B448FA">
      <w:pPr>
        <w:spacing w:after="0" w:line="240" w:lineRule="auto"/>
      </w:pPr>
      <w:r>
        <w:t xml:space="preserve">   - How: Video interviews, guest speakers, and group discussions.</w:t>
      </w:r>
    </w:p>
    <w:p w14:paraId="5D13519C" w14:textId="77777777" w:rsidR="00B448FA" w:rsidRDefault="008F0B02" w:rsidP="00B448FA">
      <w:pPr>
        <w:spacing w:after="0" w:line="240" w:lineRule="auto"/>
      </w:pPr>
      <w:r>
        <w:t xml:space="preserve">   - Why: Connects AI to familiar industries and potential job roles.</w:t>
      </w:r>
    </w:p>
    <w:p w14:paraId="28DEC0BF" w14:textId="688BFA6F" w:rsidR="00A17358" w:rsidRDefault="00A17358" w:rsidP="00B448FA">
      <w:pPr>
        <w:spacing w:after="0" w:line="240" w:lineRule="auto"/>
      </w:pPr>
    </w:p>
    <w:p w14:paraId="049533D6" w14:textId="77777777" w:rsidR="00A17358" w:rsidRPr="00B448FA" w:rsidRDefault="008F0B02" w:rsidP="00B448FA">
      <w:pPr>
        <w:pStyle w:val="Heading3"/>
        <w:spacing w:before="0" w:line="240" w:lineRule="auto"/>
        <w:rPr>
          <w:color w:val="244061" w:themeColor="accent1" w:themeShade="80"/>
        </w:rPr>
      </w:pPr>
      <w:r w:rsidRPr="00B448FA">
        <w:rPr>
          <w:color w:val="244061" w:themeColor="accent1" w:themeShade="80"/>
        </w:rPr>
        <w:t>Phase 3: Prompting &amp; Agentic Thinking (Weeks 9–12)</w:t>
      </w:r>
    </w:p>
    <w:p w14:paraId="1EAEF4D3" w14:textId="77777777" w:rsidR="00B448FA" w:rsidRDefault="00B448FA" w:rsidP="00B448FA">
      <w:pPr>
        <w:spacing w:after="0" w:line="240" w:lineRule="auto"/>
      </w:pPr>
    </w:p>
    <w:p w14:paraId="5CB0B7F6" w14:textId="77777777" w:rsidR="00B448FA" w:rsidRDefault="008F0B02" w:rsidP="00B448FA">
      <w:pPr>
        <w:spacing w:after="0" w:line="240" w:lineRule="auto"/>
      </w:pPr>
      <w:r>
        <w:t>Purpose: Teach participants how to interact with AI tools effectively.</w:t>
      </w:r>
    </w:p>
    <w:p w14:paraId="23C45174" w14:textId="77777777" w:rsidR="00B448FA" w:rsidRDefault="00B448FA" w:rsidP="00B448FA">
      <w:pPr>
        <w:spacing w:after="0" w:line="240" w:lineRule="auto"/>
      </w:pPr>
    </w:p>
    <w:p w14:paraId="646DBE8A" w14:textId="77777777" w:rsidR="00B448FA" w:rsidRDefault="008F0B02" w:rsidP="00B448FA">
      <w:pPr>
        <w:spacing w:after="0" w:line="240" w:lineRule="auto"/>
      </w:pPr>
      <w:r>
        <w:t>Activities:</w:t>
      </w:r>
    </w:p>
    <w:p w14:paraId="155B32C8" w14:textId="77777777" w:rsidR="00B448FA" w:rsidRDefault="008F0B02" w:rsidP="00B448FA">
      <w:pPr>
        <w:spacing w:after="0" w:line="240" w:lineRule="auto"/>
      </w:pPr>
      <w:r>
        <w:t>1. Prompt Engineering Labs</w:t>
      </w:r>
    </w:p>
    <w:p w14:paraId="385648BA" w14:textId="77777777" w:rsidR="00B448FA" w:rsidRDefault="008F0B02" w:rsidP="00B448FA">
      <w:pPr>
        <w:spacing w:after="0" w:line="240" w:lineRule="auto"/>
      </w:pPr>
      <w:r>
        <w:t xml:space="preserve">   - What: Practice writing prompts for tasks like summarizing articles or generating emails.</w:t>
      </w:r>
    </w:p>
    <w:p w14:paraId="2B38CB56" w14:textId="77777777" w:rsidR="00B448FA" w:rsidRDefault="008F0B02" w:rsidP="00B448FA">
      <w:pPr>
        <w:spacing w:after="0" w:line="240" w:lineRule="auto"/>
      </w:pPr>
      <w:r>
        <w:t xml:space="preserve">   - How: Guided exercises with feedback from instructors and peers.</w:t>
      </w:r>
    </w:p>
    <w:p w14:paraId="149569D8" w14:textId="77777777" w:rsidR="00B448FA" w:rsidRDefault="008F0B02" w:rsidP="00B448FA">
      <w:pPr>
        <w:spacing w:after="0" w:line="240" w:lineRule="auto"/>
      </w:pPr>
      <w:r>
        <w:t xml:space="preserve">   - Why: Develops communication skills and AI fluency.</w:t>
      </w:r>
    </w:p>
    <w:p w14:paraId="79EAB395" w14:textId="77777777" w:rsidR="00B448FA" w:rsidRDefault="00B448FA" w:rsidP="00B448FA">
      <w:pPr>
        <w:spacing w:after="0" w:line="240" w:lineRule="auto"/>
      </w:pPr>
    </w:p>
    <w:p w14:paraId="41C35E67" w14:textId="77777777" w:rsidR="00B448FA" w:rsidRDefault="008F0B02" w:rsidP="00B448FA">
      <w:pPr>
        <w:spacing w:after="0" w:line="240" w:lineRule="auto"/>
      </w:pPr>
      <w:r>
        <w:t>2. Designing AI Workflows</w:t>
      </w:r>
    </w:p>
    <w:p w14:paraId="26ECF4F0" w14:textId="77777777" w:rsidR="00B448FA" w:rsidRDefault="008F0B02" w:rsidP="00B448FA">
      <w:pPr>
        <w:spacing w:after="0" w:line="240" w:lineRule="auto"/>
      </w:pPr>
      <w:r>
        <w:t xml:space="preserve">   - What: Participants create simple workflows (e.g., using AI to plan a job search).</w:t>
      </w:r>
    </w:p>
    <w:p w14:paraId="425F147F" w14:textId="77777777" w:rsidR="00B448FA" w:rsidRDefault="008F0B02" w:rsidP="00B448FA">
      <w:pPr>
        <w:spacing w:after="0" w:line="240" w:lineRule="auto"/>
      </w:pPr>
      <w:r>
        <w:t xml:space="preserve">   - How: Use of Copilot and Microsoft Loop to build task agents.</w:t>
      </w:r>
    </w:p>
    <w:p w14:paraId="6D07A8F0" w14:textId="77777777" w:rsidR="00B448FA" w:rsidRDefault="008F0B02" w:rsidP="00B448FA">
      <w:pPr>
        <w:spacing w:after="0" w:line="240" w:lineRule="auto"/>
      </w:pPr>
      <w:r>
        <w:t xml:space="preserve">   - Why: Encourages problem-solving and self-sufficiency.</w:t>
      </w:r>
    </w:p>
    <w:p w14:paraId="6AF2410D" w14:textId="54A22F91" w:rsidR="00A17358" w:rsidRDefault="00A17358" w:rsidP="00B448FA">
      <w:pPr>
        <w:spacing w:after="0" w:line="240" w:lineRule="auto"/>
      </w:pPr>
    </w:p>
    <w:p w14:paraId="6AB68548" w14:textId="77777777" w:rsidR="00A17358" w:rsidRPr="00B448FA" w:rsidRDefault="008F0B02" w:rsidP="00B448FA">
      <w:pPr>
        <w:pStyle w:val="Heading3"/>
        <w:spacing w:before="0" w:line="240" w:lineRule="auto"/>
        <w:rPr>
          <w:color w:val="244061" w:themeColor="accent1" w:themeShade="80"/>
        </w:rPr>
      </w:pPr>
      <w:r w:rsidRPr="00B448FA">
        <w:rPr>
          <w:color w:val="244061" w:themeColor="accent1" w:themeShade="80"/>
        </w:rPr>
        <w:t>Phase 4: AI in the Workplace (Weeks 13–20)</w:t>
      </w:r>
    </w:p>
    <w:p w14:paraId="56396383" w14:textId="77777777" w:rsidR="00B448FA" w:rsidRDefault="00B448FA" w:rsidP="00B448FA">
      <w:pPr>
        <w:spacing w:after="0" w:line="240" w:lineRule="auto"/>
      </w:pPr>
    </w:p>
    <w:p w14:paraId="36B0935E" w14:textId="77777777" w:rsidR="00B448FA" w:rsidRDefault="008F0B02" w:rsidP="00B448FA">
      <w:pPr>
        <w:spacing w:after="0" w:line="240" w:lineRule="auto"/>
      </w:pPr>
      <w:r>
        <w:t>Purpose: Prepare participants for real-world job applications of AI.</w:t>
      </w:r>
    </w:p>
    <w:p w14:paraId="6A6F9E4F" w14:textId="77777777" w:rsidR="00B448FA" w:rsidRDefault="00B448FA" w:rsidP="00B448FA">
      <w:pPr>
        <w:spacing w:after="0" w:line="240" w:lineRule="auto"/>
      </w:pPr>
    </w:p>
    <w:p w14:paraId="7B5C9CF4" w14:textId="77777777" w:rsidR="00B448FA" w:rsidRDefault="008F0B02" w:rsidP="00B448FA">
      <w:pPr>
        <w:spacing w:after="0" w:line="240" w:lineRule="auto"/>
      </w:pPr>
      <w:r>
        <w:t>Activities:</w:t>
      </w:r>
    </w:p>
    <w:p w14:paraId="74BC0FDF" w14:textId="77777777" w:rsidR="00B448FA" w:rsidRDefault="008F0B02" w:rsidP="00B448FA">
      <w:pPr>
        <w:spacing w:after="0" w:line="240" w:lineRule="auto"/>
      </w:pPr>
      <w:r>
        <w:t>1. Industry Deep Dives</w:t>
      </w:r>
    </w:p>
    <w:p w14:paraId="0BABF70B" w14:textId="77777777" w:rsidR="00B448FA" w:rsidRDefault="008F0B02" w:rsidP="00B448FA">
      <w:pPr>
        <w:spacing w:after="0" w:line="240" w:lineRule="auto"/>
      </w:pPr>
      <w:r>
        <w:t xml:space="preserve">   - What: Explore how AI is used in logistics, customer service, and healthcare.</w:t>
      </w:r>
    </w:p>
    <w:p w14:paraId="78B1BA36" w14:textId="77777777" w:rsidR="00B448FA" w:rsidRDefault="008F0B02" w:rsidP="00B448FA">
      <w:pPr>
        <w:spacing w:after="0" w:line="240" w:lineRule="auto"/>
      </w:pPr>
      <w:r>
        <w:t xml:space="preserve">   - How: Simulations, role-playing, and virtual job tours.</w:t>
      </w:r>
    </w:p>
    <w:p w14:paraId="53E5E5FB" w14:textId="77777777" w:rsidR="00B448FA" w:rsidRDefault="008F0B02" w:rsidP="00B448FA">
      <w:pPr>
        <w:spacing w:after="0" w:line="240" w:lineRule="auto"/>
      </w:pPr>
      <w:r>
        <w:t xml:space="preserve">   - Why: Helps participants identify roles that match their interests and skills.</w:t>
      </w:r>
    </w:p>
    <w:p w14:paraId="725BF4C9" w14:textId="77777777" w:rsidR="00B448FA" w:rsidRDefault="00B448FA" w:rsidP="00B448FA">
      <w:pPr>
        <w:spacing w:after="0" w:line="240" w:lineRule="auto"/>
      </w:pPr>
    </w:p>
    <w:p w14:paraId="152F8764" w14:textId="77777777" w:rsidR="00B448FA" w:rsidRDefault="008F0B02" w:rsidP="00B448FA">
      <w:pPr>
        <w:spacing w:after="0" w:line="240" w:lineRule="auto"/>
      </w:pPr>
      <w:r>
        <w:t>2. Career Readiness Workshops</w:t>
      </w:r>
    </w:p>
    <w:p w14:paraId="04A5C630" w14:textId="77777777" w:rsidR="00B448FA" w:rsidRDefault="008F0B02" w:rsidP="00B448FA">
      <w:pPr>
        <w:spacing w:after="0" w:line="240" w:lineRule="auto"/>
      </w:pPr>
      <w:r>
        <w:t xml:space="preserve">   - What: Resume building, LinkedIn setup, mock interviews.</w:t>
      </w:r>
    </w:p>
    <w:p w14:paraId="2B416E08" w14:textId="77777777" w:rsidR="00B448FA" w:rsidRDefault="008F0B02" w:rsidP="00B448FA">
      <w:pPr>
        <w:spacing w:after="0" w:line="240" w:lineRule="auto"/>
      </w:pPr>
      <w:r>
        <w:t xml:space="preserve">   - How: One-on-one coaching and group sessions.</w:t>
      </w:r>
    </w:p>
    <w:p w14:paraId="58EC6A3A" w14:textId="77777777" w:rsidR="00B448FA" w:rsidRDefault="008F0B02" w:rsidP="00B448FA">
      <w:pPr>
        <w:spacing w:after="0" w:line="240" w:lineRule="auto"/>
      </w:pPr>
      <w:r>
        <w:t xml:space="preserve">   - Why: Builds confidence and prepares for job placement.</w:t>
      </w:r>
    </w:p>
    <w:p w14:paraId="77241B35" w14:textId="0826F0B1" w:rsidR="00A17358" w:rsidRDefault="00A17358" w:rsidP="00B448FA">
      <w:pPr>
        <w:spacing w:after="0" w:line="240" w:lineRule="auto"/>
      </w:pPr>
    </w:p>
    <w:p w14:paraId="3F34AA5A" w14:textId="77777777" w:rsidR="00A17358" w:rsidRPr="00B448FA" w:rsidRDefault="008F0B02" w:rsidP="00B448FA">
      <w:pPr>
        <w:pStyle w:val="Heading3"/>
        <w:spacing w:before="0" w:line="240" w:lineRule="auto"/>
        <w:rPr>
          <w:color w:val="244061" w:themeColor="accent1" w:themeShade="80"/>
        </w:rPr>
      </w:pPr>
      <w:r w:rsidRPr="00B448FA">
        <w:rPr>
          <w:color w:val="244061" w:themeColor="accent1" w:themeShade="80"/>
        </w:rPr>
        <w:t>Phase 5: Apprenticeship &amp; Job Placement (Weeks 21–24)</w:t>
      </w:r>
    </w:p>
    <w:p w14:paraId="15AB0078" w14:textId="77777777" w:rsidR="00B448FA" w:rsidRDefault="00B448FA" w:rsidP="00B448FA">
      <w:pPr>
        <w:spacing w:after="0" w:line="240" w:lineRule="auto"/>
      </w:pPr>
    </w:p>
    <w:p w14:paraId="440AD2E1" w14:textId="77777777" w:rsidR="00B448FA" w:rsidRDefault="008F0B02" w:rsidP="00B448FA">
      <w:pPr>
        <w:spacing w:after="0" w:line="240" w:lineRule="auto"/>
      </w:pPr>
      <w:r>
        <w:t>Purpose: Transition participants into the workforce.</w:t>
      </w:r>
    </w:p>
    <w:p w14:paraId="7AF47BC1" w14:textId="77777777" w:rsidR="00B448FA" w:rsidRDefault="00B448FA" w:rsidP="00B448FA">
      <w:pPr>
        <w:spacing w:after="0" w:line="240" w:lineRule="auto"/>
      </w:pPr>
    </w:p>
    <w:p w14:paraId="006FC08E" w14:textId="77777777" w:rsidR="00B448FA" w:rsidRDefault="008F0B02" w:rsidP="00B448FA">
      <w:pPr>
        <w:spacing w:after="0" w:line="240" w:lineRule="auto"/>
      </w:pPr>
      <w:r>
        <w:t>Activities:</w:t>
      </w:r>
    </w:p>
    <w:p w14:paraId="1B15BBC1" w14:textId="77777777" w:rsidR="00B448FA" w:rsidRDefault="008F0B02" w:rsidP="00B448FA">
      <w:pPr>
        <w:spacing w:after="0" w:line="240" w:lineRule="auto"/>
      </w:pPr>
      <w:r>
        <w:t>1. Apprenticeship Matching</w:t>
      </w:r>
    </w:p>
    <w:p w14:paraId="7D1D2FF4" w14:textId="77777777" w:rsidR="00B448FA" w:rsidRDefault="008F0B02" w:rsidP="00B448FA">
      <w:pPr>
        <w:spacing w:after="0" w:line="240" w:lineRule="auto"/>
      </w:pPr>
      <w:r>
        <w:t xml:space="preserve">   - What: Match participants with employers for 8-week paid apprenticeships.</w:t>
      </w:r>
    </w:p>
    <w:p w14:paraId="2DBE8327" w14:textId="77777777" w:rsidR="00B448FA" w:rsidRDefault="008F0B02" w:rsidP="00B448FA">
      <w:pPr>
        <w:spacing w:after="0" w:line="240" w:lineRule="auto"/>
      </w:pPr>
      <w:r>
        <w:t xml:space="preserve">   - How: Based on skills, interests, and employer needs.</w:t>
      </w:r>
    </w:p>
    <w:p w14:paraId="01F4ECEB" w14:textId="77777777" w:rsidR="00B448FA" w:rsidRDefault="008F0B02" w:rsidP="00B448FA">
      <w:pPr>
        <w:spacing w:after="0" w:line="240" w:lineRule="auto"/>
      </w:pPr>
      <w:r>
        <w:t xml:space="preserve">   - Why: Provides real-world experience and a pathway to permanent employment.</w:t>
      </w:r>
    </w:p>
    <w:p w14:paraId="04CFB30E" w14:textId="77777777" w:rsidR="00B448FA" w:rsidRDefault="00B448FA" w:rsidP="00B448FA">
      <w:pPr>
        <w:spacing w:after="0" w:line="240" w:lineRule="auto"/>
      </w:pPr>
    </w:p>
    <w:p w14:paraId="4C5724CF" w14:textId="77777777" w:rsidR="00B448FA" w:rsidRDefault="008F0B02" w:rsidP="00B448FA">
      <w:pPr>
        <w:spacing w:after="0" w:line="240" w:lineRule="auto"/>
      </w:pPr>
      <w:r>
        <w:t>2. Mentorship &amp; Support</w:t>
      </w:r>
    </w:p>
    <w:p w14:paraId="1F04E92F" w14:textId="77777777" w:rsidR="00B448FA" w:rsidRDefault="008F0B02" w:rsidP="00B448FA">
      <w:pPr>
        <w:spacing w:after="0" w:line="240" w:lineRule="auto"/>
      </w:pPr>
      <w:r>
        <w:t xml:space="preserve">   - What: Weekly check-ins, problem-solving sessions, and peer support groups.</w:t>
      </w:r>
    </w:p>
    <w:p w14:paraId="35D9F66C" w14:textId="77777777" w:rsidR="00B448FA" w:rsidRDefault="008F0B02" w:rsidP="00B448FA">
      <w:pPr>
        <w:spacing w:after="0" w:line="240" w:lineRule="auto"/>
      </w:pPr>
      <w:r>
        <w:t xml:space="preserve">   - How: Facilitated by program staff and employer liaisons.</w:t>
      </w:r>
    </w:p>
    <w:p w14:paraId="020B060F" w14:textId="77777777" w:rsidR="00B448FA" w:rsidRDefault="008F0B02" w:rsidP="00B448FA">
      <w:pPr>
        <w:spacing w:after="0" w:line="240" w:lineRule="auto"/>
      </w:pPr>
      <w:r>
        <w:t xml:space="preserve">   - Why: Ensures retention and success during transition.</w:t>
      </w:r>
    </w:p>
    <w:p w14:paraId="62782053" w14:textId="05CF7012" w:rsidR="00A17358" w:rsidRDefault="00A17358" w:rsidP="00B448FA">
      <w:pPr>
        <w:spacing w:after="0" w:line="240" w:lineRule="auto"/>
      </w:pPr>
    </w:p>
    <w:p w14:paraId="357D03FE" w14:textId="77777777" w:rsidR="00A17358" w:rsidRPr="00B448FA" w:rsidRDefault="008F0B02" w:rsidP="00B448FA">
      <w:pPr>
        <w:pStyle w:val="Heading2"/>
        <w:spacing w:before="0" w:line="240" w:lineRule="auto"/>
        <w:rPr>
          <w:color w:val="244061" w:themeColor="accent1" w:themeShade="80"/>
        </w:rPr>
      </w:pPr>
      <w:r w:rsidRPr="00B448FA">
        <w:rPr>
          <w:color w:val="244061" w:themeColor="accent1" w:themeShade="80"/>
        </w:rPr>
        <w:lastRenderedPageBreak/>
        <w:t>Project Plan with Key Milestones</w:t>
      </w:r>
    </w:p>
    <w:p w14:paraId="602FAF4E" w14:textId="77777777" w:rsidR="00B448FA" w:rsidRDefault="00B448FA" w:rsidP="00B448FA">
      <w:pPr>
        <w:spacing w:after="0" w:line="240" w:lineRule="auto"/>
      </w:pPr>
    </w:p>
    <w:tbl>
      <w:tblPr>
        <w:tblStyle w:val="PlainTable1"/>
        <w:tblW w:w="0" w:type="auto"/>
        <w:tblLook w:val="0420" w:firstRow="1" w:lastRow="0" w:firstColumn="0" w:lastColumn="0" w:noHBand="0" w:noVBand="1"/>
      </w:tblPr>
      <w:tblGrid>
        <w:gridCol w:w="4428"/>
        <w:gridCol w:w="4428"/>
      </w:tblGrid>
      <w:tr w:rsidR="00B448FA" w:rsidRPr="00B448FA" w14:paraId="7CBBE11D" w14:textId="77777777" w:rsidTr="00B448FA">
        <w:trPr>
          <w:cnfStyle w:val="100000000000" w:firstRow="1" w:lastRow="0" w:firstColumn="0" w:lastColumn="0" w:oddVBand="0" w:evenVBand="0" w:oddHBand="0" w:evenHBand="0" w:firstRowFirstColumn="0" w:firstRowLastColumn="0" w:lastRowFirstColumn="0" w:lastRowLastColumn="0"/>
        </w:trPr>
        <w:tc>
          <w:tcPr>
            <w:tcW w:w="4428" w:type="dxa"/>
          </w:tcPr>
          <w:p w14:paraId="67A06F17" w14:textId="4EB82027" w:rsidR="00B448FA" w:rsidRPr="00B448FA" w:rsidRDefault="00B448FA" w:rsidP="00B448FA">
            <w:r>
              <w:t>Month</w:t>
            </w:r>
          </w:p>
        </w:tc>
        <w:tc>
          <w:tcPr>
            <w:tcW w:w="4428" w:type="dxa"/>
          </w:tcPr>
          <w:p w14:paraId="10D2A976" w14:textId="08B65382" w:rsidR="00B448FA" w:rsidRPr="00B448FA" w:rsidRDefault="00B448FA" w:rsidP="00B448FA">
            <w:r>
              <w:t>Activities</w:t>
            </w:r>
          </w:p>
        </w:tc>
      </w:tr>
      <w:tr w:rsidR="00B448FA" w:rsidRPr="00B448FA" w14:paraId="0570BE26" w14:textId="77777777" w:rsidTr="00B448FA">
        <w:trPr>
          <w:cnfStyle w:val="000000100000" w:firstRow="0" w:lastRow="0" w:firstColumn="0" w:lastColumn="0" w:oddVBand="0" w:evenVBand="0" w:oddHBand="1" w:evenHBand="0" w:firstRowFirstColumn="0" w:firstRowLastColumn="0" w:lastRowFirstColumn="0" w:lastRowLastColumn="0"/>
        </w:trPr>
        <w:tc>
          <w:tcPr>
            <w:tcW w:w="4428" w:type="dxa"/>
          </w:tcPr>
          <w:p w14:paraId="6C17391C" w14:textId="513B58EC" w:rsidR="00B448FA" w:rsidRDefault="00B448FA" w:rsidP="00B448FA">
            <w:r>
              <w:t>Month 1</w:t>
            </w:r>
          </w:p>
        </w:tc>
        <w:tc>
          <w:tcPr>
            <w:tcW w:w="4428" w:type="dxa"/>
          </w:tcPr>
          <w:p w14:paraId="51F6D5B1" w14:textId="6CCF3A83" w:rsidR="00B448FA" w:rsidRDefault="00B448FA" w:rsidP="00B448FA">
            <w:r>
              <w:t>Recruit participants, onboard instructors, finalize curriculum</w:t>
            </w:r>
          </w:p>
        </w:tc>
      </w:tr>
      <w:tr w:rsidR="00B448FA" w:rsidRPr="00B448FA" w14:paraId="74C9D862" w14:textId="77777777" w:rsidTr="00B448FA">
        <w:tc>
          <w:tcPr>
            <w:tcW w:w="4428" w:type="dxa"/>
          </w:tcPr>
          <w:p w14:paraId="6706A62A" w14:textId="7E7F0EED" w:rsidR="00B448FA" w:rsidRDefault="00B448FA" w:rsidP="00B448FA">
            <w:r>
              <w:t>Month 2</w:t>
            </w:r>
          </w:p>
        </w:tc>
        <w:tc>
          <w:tcPr>
            <w:tcW w:w="4428" w:type="dxa"/>
          </w:tcPr>
          <w:p w14:paraId="052197D1" w14:textId="6B6C8684" w:rsidR="00B448FA" w:rsidRDefault="00B448FA" w:rsidP="00B448FA">
            <w:r>
              <w:t>Launch Phase 1 (Digital Foundations)</w:t>
            </w:r>
          </w:p>
        </w:tc>
      </w:tr>
      <w:tr w:rsidR="00B448FA" w:rsidRPr="00B448FA" w14:paraId="350C9AD0" w14:textId="77777777" w:rsidTr="00B448FA">
        <w:trPr>
          <w:cnfStyle w:val="000000100000" w:firstRow="0" w:lastRow="0" w:firstColumn="0" w:lastColumn="0" w:oddVBand="0" w:evenVBand="0" w:oddHBand="1" w:evenHBand="0" w:firstRowFirstColumn="0" w:firstRowLastColumn="0" w:lastRowFirstColumn="0" w:lastRowLastColumn="0"/>
        </w:trPr>
        <w:tc>
          <w:tcPr>
            <w:tcW w:w="4428" w:type="dxa"/>
          </w:tcPr>
          <w:p w14:paraId="4B8DD24A" w14:textId="3F9BDB61" w:rsidR="00B448FA" w:rsidRDefault="00B448FA" w:rsidP="00B448FA">
            <w:r>
              <w:t>Month 3</w:t>
            </w:r>
          </w:p>
        </w:tc>
        <w:tc>
          <w:tcPr>
            <w:tcW w:w="4428" w:type="dxa"/>
          </w:tcPr>
          <w:p w14:paraId="1AC93BEC" w14:textId="593BEC75" w:rsidR="00B448FA" w:rsidRDefault="00B448FA" w:rsidP="00B448FA">
            <w:r>
              <w:t>Launch Phase 2 (Intro to AI)</w:t>
            </w:r>
          </w:p>
        </w:tc>
      </w:tr>
      <w:tr w:rsidR="00B448FA" w:rsidRPr="00B448FA" w14:paraId="1313668B" w14:textId="77777777" w:rsidTr="00B448FA">
        <w:tc>
          <w:tcPr>
            <w:tcW w:w="4428" w:type="dxa"/>
          </w:tcPr>
          <w:p w14:paraId="00CBFD4F" w14:textId="6A519CD3" w:rsidR="00B448FA" w:rsidRDefault="00B448FA" w:rsidP="00B448FA">
            <w:r>
              <w:t>Month 4</w:t>
            </w:r>
          </w:p>
        </w:tc>
        <w:tc>
          <w:tcPr>
            <w:tcW w:w="4428" w:type="dxa"/>
          </w:tcPr>
          <w:p w14:paraId="2CC16A2F" w14:textId="57FA474B" w:rsidR="00B448FA" w:rsidRDefault="00B448FA" w:rsidP="00B448FA">
            <w:r>
              <w:t>Launch Phase 3 (Prompting &amp; Agentic Thinking)</w:t>
            </w:r>
          </w:p>
        </w:tc>
      </w:tr>
      <w:tr w:rsidR="00B448FA" w:rsidRPr="00B448FA" w14:paraId="43A71486" w14:textId="77777777" w:rsidTr="00B448FA">
        <w:trPr>
          <w:cnfStyle w:val="000000100000" w:firstRow="0" w:lastRow="0" w:firstColumn="0" w:lastColumn="0" w:oddVBand="0" w:evenVBand="0" w:oddHBand="1" w:evenHBand="0" w:firstRowFirstColumn="0" w:firstRowLastColumn="0" w:lastRowFirstColumn="0" w:lastRowLastColumn="0"/>
        </w:trPr>
        <w:tc>
          <w:tcPr>
            <w:tcW w:w="4428" w:type="dxa"/>
          </w:tcPr>
          <w:p w14:paraId="513F6B58" w14:textId="7BCB41A7" w:rsidR="00B448FA" w:rsidRDefault="00B448FA" w:rsidP="00B448FA">
            <w:r>
              <w:t>Month 5</w:t>
            </w:r>
          </w:p>
        </w:tc>
        <w:tc>
          <w:tcPr>
            <w:tcW w:w="4428" w:type="dxa"/>
          </w:tcPr>
          <w:p w14:paraId="0905EECE" w14:textId="3FA28FDD" w:rsidR="00B448FA" w:rsidRDefault="00B448FA" w:rsidP="00B448FA">
            <w:r>
              <w:t>Launch Phase 4 (AI in the Workplace), begin employer outreach</w:t>
            </w:r>
          </w:p>
        </w:tc>
      </w:tr>
      <w:tr w:rsidR="00B448FA" w:rsidRPr="00B448FA" w14:paraId="002BDCC3" w14:textId="77777777" w:rsidTr="00B448FA">
        <w:tc>
          <w:tcPr>
            <w:tcW w:w="4428" w:type="dxa"/>
          </w:tcPr>
          <w:p w14:paraId="65EAB245" w14:textId="2DC0DC83" w:rsidR="00B448FA" w:rsidRDefault="00B448FA" w:rsidP="00B448FA">
            <w:r>
              <w:t>Month 6</w:t>
            </w:r>
          </w:p>
        </w:tc>
        <w:tc>
          <w:tcPr>
            <w:tcW w:w="4428" w:type="dxa"/>
          </w:tcPr>
          <w:p w14:paraId="77C5F3EE" w14:textId="5AD865DB" w:rsidR="00B448FA" w:rsidRDefault="00B448FA" w:rsidP="00B448FA">
            <w:r>
              <w:t>Launch Phase 5 (Apprenticeships), begin job placement support</w:t>
            </w:r>
          </w:p>
        </w:tc>
      </w:tr>
    </w:tbl>
    <w:p w14:paraId="6F94D9AC" w14:textId="77777777" w:rsidR="00B448FA" w:rsidRPr="00B448FA" w:rsidRDefault="00B448FA" w:rsidP="00B448FA">
      <w:pPr>
        <w:spacing w:after="0" w:line="240" w:lineRule="auto"/>
      </w:pPr>
    </w:p>
    <w:p w14:paraId="180EFA12" w14:textId="1EB70DB0" w:rsidR="00A17358" w:rsidRDefault="00A17358" w:rsidP="00B448FA">
      <w:pPr>
        <w:spacing w:after="0" w:line="240" w:lineRule="auto"/>
      </w:pPr>
    </w:p>
    <w:p w14:paraId="119C535E" w14:textId="77777777" w:rsidR="00A17358" w:rsidRPr="00B448FA" w:rsidRDefault="008F0B02" w:rsidP="00B448FA">
      <w:pPr>
        <w:pStyle w:val="Heading2"/>
        <w:spacing w:before="0" w:line="240" w:lineRule="auto"/>
        <w:rPr>
          <w:color w:val="244061" w:themeColor="accent1" w:themeShade="80"/>
        </w:rPr>
      </w:pPr>
      <w:r w:rsidRPr="00B448FA">
        <w:rPr>
          <w:color w:val="244061" w:themeColor="accent1" w:themeShade="80"/>
        </w:rPr>
        <w:t>Communication Plan &amp; Strategy</w:t>
      </w:r>
    </w:p>
    <w:p w14:paraId="405B7824" w14:textId="77777777" w:rsidR="00B448FA" w:rsidRDefault="00B448FA" w:rsidP="00B448FA">
      <w:pPr>
        <w:spacing w:after="0" w:line="240" w:lineRule="auto"/>
      </w:pPr>
    </w:p>
    <w:p w14:paraId="3A7CA8ED" w14:textId="77777777" w:rsidR="00B448FA" w:rsidRDefault="008F0B02" w:rsidP="00B448FA">
      <w:pPr>
        <w:spacing w:after="0" w:line="240" w:lineRule="auto"/>
      </w:pPr>
      <w:r>
        <w:t>Objectives:</w:t>
      </w:r>
    </w:p>
    <w:p w14:paraId="763BF110" w14:textId="77777777" w:rsidR="00B448FA" w:rsidRDefault="008F0B02" w:rsidP="00B448FA">
      <w:pPr>
        <w:spacing w:after="0" w:line="240" w:lineRule="auto"/>
      </w:pPr>
      <w:r>
        <w:t>- Keep stakeholders informed and engaged</w:t>
      </w:r>
    </w:p>
    <w:p w14:paraId="1BF50727" w14:textId="77777777" w:rsidR="00B448FA" w:rsidRDefault="008F0B02" w:rsidP="00B448FA">
      <w:pPr>
        <w:spacing w:after="0" w:line="240" w:lineRule="auto"/>
      </w:pPr>
      <w:r>
        <w:t>- Promote transparency and accountability</w:t>
      </w:r>
    </w:p>
    <w:p w14:paraId="475EA397" w14:textId="77777777" w:rsidR="00B448FA" w:rsidRDefault="008F0B02" w:rsidP="00B448FA">
      <w:pPr>
        <w:spacing w:after="0" w:line="240" w:lineRule="auto"/>
      </w:pPr>
      <w:r>
        <w:t>- Foster community and employer partnerships</w:t>
      </w:r>
    </w:p>
    <w:p w14:paraId="4221B070" w14:textId="77777777" w:rsidR="00B448FA" w:rsidRDefault="00B448FA" w:rsidP="00B448FA">
      <w:pPr>
        <w:spacing w:after="0" w:line="240" w:lineRule="auto"/>
      </w:pPr>
    </w:p>
    <w:p w14:paraId="7448EE40" w14:textId="77777777" w:rsidR="00B448FA" w:rsidRDefault="008F0B02" w:rsidP="00B448FA">
      <w:pPr>
        <w:spacing w:after="0" w:line="240" w:lineRule="auto"/>
      </w:pPr>
      <w:r>
        <w:t>Stakeholder Groups:</w:t>
      </w:r>
    </w:p>
    <w:p w14:paraId="010F8B6A" w14:textId="77777777" w:rsidR="00B448FA" w:rsidRDefault="008F0B02" w:rsidP="00B448FA">
      <w:pPr>
        <w:spacing w:after="0" w:line="240" w:lineRule="auto"/>
      </w:pPr>
      <w:r>
        <w:t>1. Participants</w:t>
      </w:r>
    </w:p>
    <w:p w14:paraId="33C598E8" w14:textId="77777777" w:rsidR="00B448FA" w:rsidRDefault="008F0B02" w:rsidP="00B448FA">
      <w:pPr>
        <w:spacing w:after="0" w:line="240" w:lineRule="auto"/>
      </w:pPr>
      <w:r>
        <w:t>2. Local Employers</w:t>
      </w:r>
    </w:p>
    <w:p w14:paraId="79E98F0E" w14:textId="77777777" w:rsidR="00B448FA" w:rsidRDefault="008F0B02" w:rsidP="00B448FA">
      <w:pPr>
        <w:spacing w:after="0" w:line="240" w:lineRule="auto"/>
      </w:pPr>
      <w:r>
        <w:t>3. Community Partners</w:t>
      </w:r>
    </w:p>
    <w:p w14:paraId="03725953" w14:textId="77777777" w:rsidR="00B448FA" w:rsidRDefault="008F0B02" w:rsidP="00B448FA">
      <w:pPr>
        <w:spacing w:after="0" w:line="240" w:lineRule="auto"/>
      </w:pPr>
      <w:r>
        <w:t>4. Funders &amp; Grant Agencies</w:t>
      </w:r>
    </w:p>
    <w:p w14:paraId="3803927F" w14:textId="77777777" w:rsidR="00B448FA" w:rsidRDefault="008F0B02" w:rsidP="00B448FA">
      <w:pPr>
        <w:spacing w:after="0" w:line="240" w:lineRule="auto"/>
      </w:pPr>
      <w:r>
        <w:t>5. Internal Program Team</w:t>
      </w:r>
    </w:p>
    <w:p w14:paraId="38EAB3DA" w14:textId="77777777" w:rsidR="00B448FA" w:rsidRDefault="00B448FA" w:rsidP="00B448FA">
      <w:pPr>
        <w:spacing w:after="0" w:line="240" w:lineRule="auto"/>
      </w:pPr>
    </w:p>
    <w:p w14:paraId="3ED191CE" w14:textId="77777777" w:rsidR="00B448FA" w:rsidRDefault="008F0B02" w:rsidP="00B448FA">
      <w:pPr>
        <w:spacing w:after="0" w:line="240" w:lineRule="auto"/>
      </w:pPr>
      <w:r>
        <w:t>Communication Channels &amp; Cadence:</w:t>
      </w:r>
    </w:p>
    <w:p w14:paraId="3101AEBF" w14:textId="77777777" w:rsidR="00B448FA" w:rsidRDefault="00B448FA" w:rsidP="00B448FA">
      <w:pPr>
        <w:spacing w:after="0" w:line="240" w:lineRule="auto"/>
      </w:pPr>
    </w:p>
    <w:tbl>
      <w:tblPr>
        <w:tblStyle w:val="PlainTable1"/>
        <w:tblW w:w="0" w:type="auto"/>
        <w:tblLook w:val="0420" w:firstRow="1" w:lastRow="0" w:firstColumn="0" w:lastColumn="0" w:noHBand="0" w:noVBand="1"/>
      </w:tblPr>
      <w:tblGrid>
        <w:gridCol w:w="2214"/>
        <w:gridCol w:w="2214"/>
        <w:gridCol w:w="2214"/>
        <w:gridCol w:w="2214"/>
      </w:tblGrid>
      <w:tr w:rsidR="00B448FA" w:rsidRPr="00B448FA" w14:paraId="247647F4" w14:textId="77777777" w:rsidTr="00B448FA">
        <w:trPr>
          <w:cnfStyle w:val="100000000000" w:firstRow="1" w:lastRow="0" w:firstColumn="0" w:lastColumn="0" w:oddVBand="0" w:evenVBand="0" w:oddHBand="0" w:evenHBand="0" w:firstRowFirstColumn="0" w:firstRowLastColumn="0" w:lastRowFirstColumn="0" w:lastRowLastColumn="0"/>
        </w:trPr>
        <w:tc>
          <w:tcPr>
            <w:tcW w:w="2214" w:type="dxa"/>
          </w:tcPr>
          <w:p w14:paraId="51DBF8DF" w14:textId="68B31928" w:rsidR="00B448FA" w:rsidRPr="00B448FA" w:rsidRDefault="00B448FA" w:rsidP="00B448FA">
            <w:r>
              <w:t>Stakeholder</w:t>
            </w:r>
          </w:p>
        </w:tc>
        <w:tc>
          <w:tcPr>
            <w:tcW w:w="2214" w:type="dxa"/>
          </w:tcPr>
          <w:p w14:paraId="7EE7731A" w14:textId="39D8F23E" w:rsidR="00B448FA" w:rsidRPr="00B448FA" w:rsidRDefault="00B448FA" w:rsidP="00B448FA">
            <w:r>
              <w:t>Channel</w:t>
            </w:r>
          </w:p>
        </w:tc>
        <w:tc>
          <w:tcPr>
            <w:tcW w:w="2214" w:type="dxa"/>
          </w:tcPr>
          <w:p w14:paraId="1037A276" w14:textId="52D1FEC7" w:rsidR="00B448FA" w:rsidRPr="00B448FA" w:rsidRDefault="00B448FA" w:rsidP="00B448FA">
            <w:r>
              <w:t>Frequency</w:t>
            </w:r>
          </w:p>
        </w:tc>
        <w:tc>
          <w:tcPr>
            <w:tcW w:w="2214" w:type="dxa"/>
          </w:tcPr>
          <w:p w14:paraId="41603FA4" w14:textId="5D27F25B" w:rsidR="00B448FA" w:rsidRPr="00B448FA" w:rsidRDefault="00B448FA" w:rsidP="00B448FA">
            <w:r>
              <w:t>Purpose</w:t>
            </w:r>
          </w:p>
        </w:tc>
      </w:tr>
      <w:tr w:rsidR="00B448FA" w:rsidRPr="00B448FA" w14:paraId="0C7889E7" w14:textId="77777777" w:rsidTr="00B448FA">
        <w:trPr>
          <w:cnfStyle w:val="000000100000" w:firstRow="0" w:lastRow="0" w:firstColumn="0" w:lastColumn="0" w:oddVBand="0" w:evenVBand="0" w:oddHBand="1" w:evenHBand="0" w:firstRowFirstColumn="0" w:firstRowLastColumn="0" w:lastRowFirstColumn="0" w:lastRowLastColumn="0"/>
        </w:trPr>
        <w:tc>
          <w:tcPr>
            <w:tcW w:w="2214" w:type="dxa"/>
          </w:tcPr>
          <w:p w14:paraId="30836C5D" w14:textId="074F24EF" w:rsidR="00B448FA" w:rsidRDefault="00B448FA" w:rsidP="00B448FA">
            <w:r>
              <w:t>Participants</w:t>
            </w:r>
          </w:p>
        </w:tc>
        <w:tc>
          <w:tcPr>
            <w:tcW w:w="2214" w:type="dxa"/>
          </w:tcPr>
          <w:p w14:paraId="3CE0F4B1" w14:textId="02489947" w:rsidR="00B448FA" w:rsidRDefault="00B448FA" w:rsidP="00B448FA">
            <w:r>
              <w:t>Email, SMS, in-person check-ins</w:t>
            </w:r>
          </w:p>
        </w:tc>
        <w:tc>
          <w:tcPr>
            <w:tcW w:w="2214" w:type="dxa"/>
          </w:tcPr>
          <w:p w14:paraId="1D17FA07" w14:textId="362CF1F7" w:rsidR="00B448FA" w:rsidRDefault="00B448FA" w:rsidP="00B448FA">
            <w:r>
              <w:t>Weekly</w:t>
            </w:r>
          </w:p>
        </w:tc>
        <w:tc>
          <w:tcPr>
            <w:tcW w:w="2214" w:type="dxa"/>
          </w:tcPr>
          <w:p w14:paraId="3BDF9C36" w14:textId="754B5AE9" w:rsidR="00B448FA" w:rsidRDefault="00B448FA" w:rsidP="00B448FA">
            <w:r>
              <w:t>Reminders, encouragement, logistics</w:t>
            </w:r>
          </w:p>
        </w:tc>
      </w:tr>
      <w:tr w:rsidR="00B448FA" w:rsidRPr="00B448FA" w14:paraId="7E83CDBB" w14:textId="77777777" w:rsidTr="00B448FA">
        <w:tc>
          <w:tcPr>
            <w:tcW w:w="2214" w:type="dxa"/>
          </w:tcPr>
          <w:p w14:paraId="48ECC5EB" w14:textId="2178728D" w:rsidR="00B448FA" w:rsidRDefault="00B448FA" w:rsidP="00B448FA">
            <w:r>
              <w:t>Employers</w:t>
            </w:r>
          </w:p>
        </w:tc>
        <w:tc>
          <w:tcPr>
            <w:tcW w:w="2214" w:type="dxa"/>
          </w:tcPr>
          <w:p w14:paraId="3E719EEA" w14:textId="24CF4931" w:rsidR="00B448FA" w:rsidRDefault="00B448FA" w:rsidP="00B448FA">
            <w:r>
              <w:t>Email, virtual meetings</w:t>
            </w:r>
          </w:p>
        </w:tc>
        <w:tc>
          <w:tcPr>
            <w:tcW w:w="2214" w:type="dxa"/>
          </w:tcPr>
          <w:p w14:paraId="27EA48FB" w14:textId="3F379898" w:rsidR="00B448FA" w:rsidRDefault="00B448FA" w:rsidP="00B448FA">
            <w:r>
              <w:t>Bi-weekly</w:t>
            </w:r>
          </w:p>
        </w:tc>
        <w:tc>
          <w:tcPr>
            <w:tcW w:w="2214" w:type="dxa"/>
          </w:tcPr>
          <w:p w14:paraId="61FE9415" w14:textId="52E5D71C" w:rsidR="00B448FA" w:rsidRDefault="00B448FA" w:rsidP="00B448FA">
            <w:r>
              <w:t>Apprenticeship coordination, feedback</w:t>
            </w:r>
          </w:p>
        </w:tc>
      </w:tr>
      <w:tr w:rsidR="00B448FA" w:rsidRPr="00B448FA" w14:paraId="554EB348" w14:textId="77777777" w:rsidTr="00B448FA">
        <w:trPr>
          <w:cnfStyle w:val="000000100000" w:firstRow="0" w:lastRow="0" w:firstColumn="0" w:lastColumn="0" w:oddVBand="0" w:evenVBand="0" w:oddHBand="1" w:evenHBand="0" w:firstRowFirstColumn="0" w:firstRowLastColumn="0" w:lastRowFirstColumn="0" w:lastRowLastColumn="0"/>
        </w:trPr>
        <w:tc>
          <w:tcPr>
            <w:tcW w:w="2214" w:type="dxa"/>
          </w:tcPr>
          <w:p w14:paraId="37BC502B" w14:textId="4740B915" w:rsidR="00B448FA" w:rsidRDefault="00B448FA" w:rsidP="00B448FA">
            <w:r>
              <w:t>Community Partners</w:t>
            </w:r>
          </w:p>
        </w:tc>
        <w:tc>
          <w:tcPr>
            <w:tcW w:w="2214" w:type="dxa"/>
          </w:tcPr>
          <w:p w14:paraId="4E5C5ADC" w14:textId="190931FF" w:rsidR="00B448FA" w:rsidRDefault="00B448FA" w:rsidP="00B448FA">
            <w:r>
              <w:t>Email newsletters, site visits</w:t>
            </w:r>
          </w:p>
        </w:tc>
        <w:tc>
          <w:tcPr>
            <w:tcW w:w="2214" w:type="dxa"/>
          </w:tcPr>
          <w:p w14:paraId="48169093" w14:textId="10CFD589" w:rsidR="00B448FA" w:rsidRDefault="00B448FA" w:rsidP="00B448FA">
            <w:r>
              <w:t>Monthly</w:t>
            </w:r>
          </w:p>
        </w:tc>
        <w:tc>
          <w:tcPr>
            <w:tcW w:w="2214" w:type="dxa"/>
          </w:tcPr>
          <w:p w14:paraId="24B52B66" w14:textId="103FB0B4" w:rsidR="00B448FA" w:rsidRDefault="00B448FA" w:rsidP="00B448FA">
            <w:r>
              <w:t>Program updates, collaboration</w:t>
            </w:r>
          </w:p>
        </w:tc>
      </w:tr>
      <w:tr w:rsidR="00B448FA" w:rsidRPr="00B448FA" w14:paraId="10054246" w14:textId="77777777" w:rsidTr="00B448FA">
        <w:tc>
          <w:tcPr>
            <w:tcW w:w="2214" w:type="dxa"/>
          </w:tcPr>
          <w:p w14:paraId="764AEDA3" w14:textId="34CC3579" w:rsidR="00B448FA" w:rsidRDefault="00B448FA" w:rsidP="00B448FA">
            <w:r>
              <w:t>Funders</w:t>
            </w:r>
          </w:p>
        </w:tc>
        <w:tc>
          <w:tcPr>
            <w:tcW w:w="2214" w:type="dxa"/>
          </w:tcPr>
          <w:p w14:paraId="338B85E5" w14:textId="192C25B9" w:rsidR="00B448FA" w:rsidRDefault="00B448FA" w:rsidP="00B448FA">
            <w:r>
              <w:t>Dashboards, reports, presentations</w:t>
            </w:r>
          </w:p>
        </w:tc>
        <w:tc>
          <w:tcPr>
            <w:tcW w:w="2214" w:type="dxa"/>
          </w:tcPr>
          <w:p w14:paraId="0A9C6974" w14:textId="4DAFD79D" w:rsidR="00B448FA" w:rsidRDefault="00B448FA" w:rsidP="00B448FA">
            <w:r>
              <w:t>Quarterly</w:t>
            </w:r>
          </w:p>
        </w:tc>
        <w:tc>
          <w:tcPr>
            <w:tcW w:w="2214" w:type="dxa"/>
          </w:tcPr>
          <w:p w14:paraId="2D8630A7" w14:textId="6DEF7EB8" w:rsidR="00B448FA" w:rsidRDefault="00B448FA" w:rsidP="00B448FA">
            <w:r>
              <w:t>Progress tracking, impact reporting</w:t>
            </w:r>
          </w:p>
        </w:tc>
      </w:tr>
      <w:tr w:rsidR="00B448FA" w:rsidRPr="00B448FA" w14:paraId="386795D4" w14:textId="77777777" w:rsidTr="00B448FA">
        <w:trPr>
          <w:cnfStyle w:val="000000100000" w:firstRow="0" w:lastRow="0" w:firstColumn="0" w:lastColumn="0" w:oddVBand="0" w:evenVBand="0" w:oddHBand="1" w:evenHBand="0" w:firstRowFirstColumn="0" w:firstRowLastColumn="0" w:lastRowFirstColumn="0" w:lastRowLastColumn="0"/>
        </w:trPr>
        <w:tc>
          <w:tcPr>
            <w:tcW w:w="2214" w:type="dxa"/>
          </w:tcPr>
          <w:p w14:paraId="180B266D" w14:textId="78EBBF41" w:rsidR="00B448FA" w:rsidRDefault="00B448FA" w:rsidP="00B448FA">
            <w:r>
              <w:t>Internal Team</w:t>
            </w:r>
          </w:p>
        </w:tc>
        <w:tc>
          <w:tcPr>
            <w:tcW w:w="2214" w:type="dxa"/>
          </w:tcPr>
          <w:p w14:paraId="7ECDD6B2" w14:textId="07150745" w:rsidR="00B448FA" w:rsidRDefault="00B448FA" w:rsidP="00B448FA">
            <w:r>
              <w:t>Microsoft Teams, shared dashboards</w:t>
            </w:r>
          </w:p>
        </w:tc>
        <w:tc>
          <w:tcPr>
            <w:tcW w:w="2214" w:type="dxa"/>
          </w:tcPr>
          <w:p w14:paraId="39B26639" w14:textId="4CC48FD9" w:rsidR="00B448FA" w:rsidRDefault="00B448FA" w:rsidP="00B448FA">
            <w:r>
              <w:t>Weekly</w:t>
            </w:r>
          </w:p>
        </w:tc>
        <w:tc>
          <w:tcPr>
            <w:tcW w:w="2214" w:type="dxa"/>
          </w:tcPr>
          <w:p w14:paraId="0C08606B" w14:textId="2BCF5100" w:rsidR="00B448FA" w:rsidRDefault="00B448FA" w:rsidP="00B448FA">
            <w:r>
              <w:t>Coordination, troubleshooting</w:t>
            </w:r>
          </w:p>
        </w:tc>
      </w:tr>
    </w:tbl>
    <w:p w14:paraId="0E6BE1FB" w14:textId="77777777" w:rsidR="00B448FA" w:rsidRPr="00B448FA" w:rsidRDefault="00B448FA" w:rsidP="00B448FA">
      <w:pPr>
        <w:spacing w:after="0" w:line="240" w:lineRule="auto"/>
      </w:pPr>
    </w:p>
    <w:p w14:paraId="38FA71B4" w14:textId="6446E27E" w:rsidR="00B448FA" w:rsidRDefault="00B448FA" w:rsidP="00B448FA">
      <w:pPr>
        <w:spacing w:after="0" w:line="240" w:lineRule="auto"/>
      </w:pPr>
    </w:p>
    <w:p w14:paraId="4F54529E" w14:textId="77777777" w:rsidR="00B448FA" w:rsidRDefault="008F0B02" w:rsidP="00B448FA">
      <w:pPr>
        <w:spacing w:after="0" w:line="240" w:lineRule="auto"/>
      </w:pPr>
      <w:r>
        <w:t>Messaging Themes:</w:t>
      </w:r>
    </w:p>
    <w:p w14:paraId="1DDB038A" w14:textId="77777777" w:rsidR="00B448FA" w:rsidRDefault="008F0B02" w:rsidP="00B448FA">
      <w:pPr>
        <w:spacing w:after="0" w:line="240" w:lineRule="auto"/>
      </w:pPr>
      <w:r>
        <w:t>- “AI is for everyone”</w:t>
      </w:r>
    </w:p>
    <w:p w14:paraId="49CB4ADC" w14:textId="77777777" w:rsidR="00B448FA" w:rsidRDefault="008F0B02" w:rsidP="00B448FA">
      <w:pPr>
        <w:spacing w:after="0" w:line="240" w:lineRule="auto"/>
      </w:pPr>
      <w:r>
        <w:t>- “From farm to future: new careers for rural Tennesseans”</w:t>
      </w:r>
    </w:p>
    <w:p w14:paraId="0680F595" w14:textId="77777777" w:rsidR="00B448FA" w:rsidRDefault="008F0B02" w:rsidP="00B448FA">
      <w:pPr>
        <w:spacing w:after="0" w:line="240" w:lineRule="auto"/>
      </w:pPr>
      <w:r>
        <w:t>- “Empowerment through digital skills”</w:t>
      </w:r>
    </w:p>
    <w:p w14:paraId="43CCC235" w14:textId="77777777" w:rsidR="00B448FA" w:rsidRDefault="008F0B02" w:rsidP="00B448FA">
      <w:pPr>
        <w:spacing w:after="0" w:line="240" w:lineRule="auto"/>
      </w:pPr>
      <w:r>
        <w:t>- “Your future is just a prompt away”</w:t>
      </w:r>
    </w:p>
    <w:p w14:paraId="3536F3EC" w14:textId="1C5A005D" w:rsidR="00A17358" w:rsidRDefault="00A17358" w:rsidP="00B448FA">
      <w:pPr>
        <w:spacing w:after="0" w:line="240" w:lineRule="auto"/>
      </w:pPr>
    </w:p>
    <w:p w14:paraId="1838761C" w14:textId="77777777" w:rsidR="00A17358" w:rsidRPr="00B448FA" w:rsidRDefault="008F0B02" w:rsidP="00B448FA">
      <w:pPr>
        <w:pStyle w:val="Heading2"/>
        <w:spacing w:before="0" w:line="240" w:lineRule="auto"/>
        <w:rPr>
          <w:color w:val="244061" w:themeColor="accent1" w:themeShade="80"/>
        </w:rPr>
      </w:pPr>
      <w:r w:rsidRPr="00B448FA">
        <w:rPr>
          <w:color w:val="244061" w:themeColor="accent1" w:themeShade="80"/>
        </w:rPr>
        <w:lastRenderedPageBreak/>
        <w:t>Budget</w:t>
      </w:r>
    </w:p>
    <w:p w14:paraId="2B9F0853" w14:textId="77777777" w:rsidR="00B448FA" w:rsidRDefault="00B448FA" w:rsidP="00B448FA">
      <w:pPr>
        <w:spacing w:after="0" w:line="240" w:lineRule="auto"/>
      </w:pPr>
    </w:p>
    <w:tbl>
      <w:tblPr>
        <w:tblStyle w:val="PlainTable1"/>
        <w:tblW w:w="0" w:type="auto"/>
        <w:tblLook w:val="0420" w:firstRow="1" w:lastRow="0" w:firstColumn="0" w:lastColumn="0" w:noHBand="0" w:noVBand="1"/>
      </w:tblPr>
      <w:tblGrid>
        <w:gridCol w:w="4428"/>
        <w:gridCol w:w="4428"/>
      </w:tblGrid>
      <w:tr w:rsidR="00B448FA" w:rsidRPr="00B448FA" w14:paraId="34C4A4C8" w14:textId="77777777" w:rsidTr="00B448FA">
        <w:trPr>
          <w:cnfStyle w:val="100000000000" w:firstRow="1" w:lastRow="0" w:firstColumn="0" w:lastColumn="0" w:oddVBand="0" w:evenVBand="0" w:oddHBand="0" w:evenHBand="0" w:firstRowFirstColumn="0" w:firstRowLastColumn="0" w:lastRowFirstColumn="0" w:lastRowLastColumn="0"/>
        </w:trPr>
        <w:tc>
          <w:tcPr>
            <w:tcW w:w="4428" w:type="dxa"/>
          </w:tcPr>
          <w:p w14:paraId="244E9A99" w14:textId="76F24D51" w:rsidR="00B448FA" w:rsidRPr="00B448FA" w:rsidRDefault="00B448FA" w:rsidP="00B448FA">
            <w:r>
              <w:t>Category</w:t>
            </w:r>
          </w:p>
        </w:tc>
        <w:tc>
          <w:tcPr>
            <w:tcW w:w="4428" w:type="dxa"/>
          </w:tcPr>
          <w:p w14:paraId="768DB0CD" w14:textId="488D1343" w:rsidR="00B448FA" w:rsidRPr="00B448FA" w:rsidRDefault="00B448FA" w:rsidP="00B448FA">
            <w:r>
              <w:t>Cost (USD)</w:t>
            </w:r>
          </w:p>
        </w:tc>
      </w:tr>
      <w:tr w:rsidR="00B448FA" w:rsidRPr="00B448FA" w14:paraId="465F5E8A" w14:textId="77777777" w:rsidTr="00B448FA">
        <w:trPr>
          <w:cnfStyle w:val="000000100000" w:firstRow="0" w:lastRow="0" w:firstColumn="0" w:lastColumn="0" w:oddVBand="0" w:evenVBand="0" w:oddHBand="1" w:evenHBand="0" w:firstRowFirstColumn="0" w:firstRowLastColumn="0" w:lastRowFirstColumn="0" w:lastRowLastColumn="0"/>
        </w:trPr>
        <w:tc>
          <w:tcPr>
            <w:tcW w:w="4428" w:type="dxa"/>
          </w:tcPr>
          <w:p w14:paraId="1BFF36A7" w14:textId="53BAA0C9" w:rsidR="00B448FA" w:rsidRDefault="00B448FA" w:rsidP="00B448FA">
            <w:r>
              <w:t>Staffing - Program Managers</w:t>
            </w:r>
          </w:p>
        </w:tc>
        <w:tc>
          <w:tcPr>
            <w:tcW w:w="4428" w:type="dxa"/>
          </w:tcPr>
          <w:p w14:paraId="28E077C4" w14:textId="39B711E4" w:rsidR="00B448FA" w:rsidRDefault="00B448FA" w:rsidP="00B448FA">
            <w:r>
              <w:t>$140,000.00</w:t>
            </w:r>
          </w:p>
        </w:tc>
      </w:tr>
      <w:tr w:rsidR="00B448FA" w:rsidRPr="00B448FA" w14:paraId="5D8EE875" w14:textId="77777777" w:rsidTr="00B448FA">
        <w:tc>
          <w:tcPr>
            <w:tcW w:w="4428" w:type="dxa"/>
          </w:tcPr>
          <w:p w14:paraId="6D14E2AB" w14:textId="4E78C58B" w:rsidR="00B448FA" w:rsidRDefault="00B448FA" w:rsidP="00B448FA">
            <w:r>
              <w:t>Staffing - AI Trainers</w:t>
            </w:r>
          </w:p>
        </w:tc>
        <w:tc>
          <w:tcPr>
            <w:tcW w:w="4428" w:type="dxa"/>
          </w:tcPr>
          <w:p w14:paraId="55489BD4" w14:textId="0A3F34B3" w:rsidR="00B448FA" w:rsidRDefault="00B448FA" w:rsidP="00B448FA">
            <w:r>
              <w:t>$360,000.00</w:t>
            </w:r>
          </w:p>
        </w:tc>
      </w:tr>
      <w:tr w:rsidR="00B448FA" w:rsidRPr="00B448FA" w14:paraId="2F0BB164" w14:textId="77777777" w:rsidTr="00B448FA">
        <w:trPr>
          <w:cnfStyle w:val="000000100000" w:firstRow="0" w:lastRow="0" w:firstColumn="0" w:lastColumn="0" w:oddVBand="0" w:evenVBand="0" w:oddHBand="1" w:evenHBand="0" w:firstRowFirstColumn="0" w:firstRowLastColumn="0" w:lastRowFirstColumn="0" w:lastRowLastColumn="0"/>
        </w:trPr>
        <w:tc>
          <w:tcPr>
            <w:tcW w:w="4428" w:type="dxa"/>
          </w:tcPr>
          <w:p w14:paraId="65CC18C0" w14:textId="6EA12497" w:rsidR="00B448FA" w:rsidRDefault="00B448FA" w:rsidP="00B448FA">
            <w:r>
              <w:t>Staffing - Executive Assistants</w:t>
            </w:r>
          </w:p>
        </w:tc>
        <w:tc>
          <w:tcPr>
            <w:tcW w:w="4428" w:type="dxa"/>
          </w:tcPr>
          <w:p w14:paraId="61DE7A6E" w14:textId="370597D6" w:rsidR="00B448FA" w:rsidRDefault="00B448FA" w:rsidP="00B448FA">
            <w:r>
              <w:t>$100,000.00</w:t>
            </w:r>
          </w:p>
        </w:tc>
      </w:tr>
      <w:tr w:rsidR="00B448FA" w:rsidRPr="00B448FA" w14:paraId="73266A97" w14:textId="77777777" w:rsidTr="00B448FA">
        <w:tc>
          <w:tcPr>
            <w:tcW w:w="4428" w:type="dxa"/>
          </w:tcPr>
          <w:p w14:paraId="5EF2C647" w14:textId="23D40623" w:rsidR="00B448FA" w:rsidRDefault="00B448FA" w:rsidP="00B448FA">
            <w:r>
              <w:t>Hardware (Laptops, Tablets)</w:t>
            </w:r>
          </w:p>
        </w:tc>
        <w:tc>
          <w:tcPr>
            <w:tcW w:w="4428" w:type="dxa"/>
          </w:tcPr>
          <w:p w14:paraId="22AD7320" w14:textId="17FC3A1E" w:rsidR="00B448FA" w:rsidRDefault="00B448FA" w:rsidP="00B448FA">
            <w:r>
              <w:t>$400,000.00</w:t>
            </w:r>
          </w:p>
        </w:tc>
      </w:tr>
      <w:tr w:rsidR="00B448FA" w:rsidRPr="00B448FA" w14:paraId="2CDD967B" w14:textId="77777777" w:rsidTr="00B448FA">
        <w:trPr>
          <w:cnfStyle w:val="000000100000" w:firstRow="0" w:lastRow="0" w:firstColumn="0" w:lastColumn="0" w:oddVBand="0" w:evenVBand="0" w:oddHBand="1" w:evenHBand="0" w:firstRowFirstColumn="0" w:firstRowLastColumn="0" w:lastRowFirstColumn="0" w:lastRowLastColumn="0"/>
        </w:trPr>
        <w:tc>
          <w:tcPr>
            <w:tcW w:w="4428" w:type="dxa"/>
          </w:tcPr>
          <w:p w14:paraId="2533F5C8" w14:textId="4BE2B5F7" w:rsidR="00B448FA" w:rsidRDefault="00B448FA" w:rsidP="00B448FA">
            <w:r>
              <w:t>Software (Microsoft 365, AI Tools)</w:t>
            </w:r>
          </w:p>
        </w:tc>
        <w:tc>
          <w:tcPr>
            <w:tcW w:w="4428" w:type="dxa"/>
          </w:tcPr>
          <w:p w14:paraId="5568B466" w14:textId="536B90EF" w:rsidR="00B448FA" w:rsidRDefault="00B448FA" w:rsidP="00B448FA">
            <w:r>
              <w:t>$50,000.00</w:t>
            </w:r>
          </w:p>
        </w:tc>
      </w:tr>
      <w:tr w:rsidR="00B448FA" w:rsidRPr="00B448FA" w14:paraId="69F1B03A" w14:textId="77777777" w:rsidTr="00B448FA">
        <w:tc>
          <w:tcPr>
            <w:tcW w:w="4428" w:type="dxa"/>
          </w:tcPr>
          <w:p w14:paraId="38D47167" w14:textId="780296DB" w:rsidR="00B448FA" w:rsidRDefault="00B448FA" w:rsidP="00B448FA">
            <w:r>
              <w:t>Internet Subscriptions</w:t>
            </w:r>
          </w:p>
        </w:tc>
        <w:tc>
          <w:tcPr>
            <w:tcW w:w="4428" w:type="dxa"/>
          </w:tcPr>
          <w:p w14:paraId="490F45B3" w14:textId="16623E15" w:rsidR="00B448FA" w:rsidRDefault="00B448FA" w:rsidP="00B448FA">
            <w:r>
              <w:t>$150,000.00</w:t>
            </w:r>
          </w:p>
        </w:tc>
      </w:tr>
      <w:tr w:rsidR="00B448FA" w:rsidRPr="00B448FA" w14:paraId="0D2B56BC" w14:textId="77777777" w:rsidTr="00B448FA">
        <w:trPr>
          <w:cnfStyle w:val="000000100000" w:firstRow="0" w:lastRow="0" w:firstColumn="0" w:lastColumn="0" w:oddVBand="0" w:evenVBand="0" w:oddHBand="1" w:evenHBand="0" w:firstRowFirstColumn="0" w:firstRowLastColumn="0" w:lastRowFirstColumn="0" w:lastRowLastColumn="0"/>
        </w:trPr>
        <w:tc>
          <w:tcPr>
            <w:tcW w:w="4428" w:type="dxa"/>
          </w:tcPr>
          <w:p w14:paraId="4383B077" w14:textId="52AB1920" w:rsidR="00B448FA" w:rsidRDefault="00B448FA" w:rsidP="00B448FA">
            <w:r>
              <w:t>Training Materials</w:t>
            </w:r>
          </w:p>
        </w:tc>
        <w:tc>
          <w:tcPr>
            <w:tcW w:w="4428" w:type="dxa"/>
          </w:tcPr>
          <w:p w14:paraId="2E159614" w14:textId="08EFCEA0" w:rsidR="00B448FA" w:rsidRDefault="00B448FA" w:rsidP="00B448FA">
            <w:r>
              <w:t>$5,000.00</w:t>
            </w:r>
          </w:p>
        </w:tc>
      </w:tr>
      <w:tr w:rsidR="00B448FA" w:rsidRPr="00B448FA" w14:paraId="3D5F6313" w14:textId="77777777" w:rsidTr="00B448FA">
        <w:tc>
          <w:tcPr>
            <w:tcW w:w="4428" w:type="dxa"/>
          </w:tcPr>
          <w:p w14:paraId="42EE9187" w14:textId="0F68A71F" w:rsidR="00B448FA" w:rsidRDefault="00B448FA" w:rsidP="00B448FA">
            <w:r>
              <w:t>Transportation Stipends</w:t>
            </w:r>
          </w:p>
        </w:tc>
        <w:tc>
          <w:tcPr>
            <w:tcW w:w="4428" w:type="dxa"/>
          </w:tcPr>
          <w:p w14:paraId="5551C780" w14:textId="3CE01439" w:rsidR="00B448FA" w:rsidRDefault="00B448FA" w:rsidP="00B448FA">
            <w:r>
              <w:t>$25,000.00</w:t>
            </w:r>
          </w:p>
        </w:tc>
      </w:tr>
      <w:tr w:rsidR="00B448FA" w:rsidRPr="00B448FA" w14:paraId="180E0062" w14:textId="77777777" w:rsidTr="00B448FA">
        <w:trPr>
          <w:cnfStyle w:val="000000100000" w:firstRow="0" w:lastRow="0" w:firstColumn="0" w:lastColumn="0" w:oddVBand="0" w:evenVBand="0" w:oddHBand="1" w:evenHBand="0" w:firstRowFirstColumn="0" w:firstRowLastColumn="0" w:lastRowFirstColumn="0" w:lastRowLastColumn="0"/>
        </w:trPr>
        <w:tc>
          <w:tcPr>
            <w:tcW w:w="4428" w:type="dxa"/>
          </w:tcPr>
          <w:p w14:paraId="2E2DFC02" w14:textId="6C315F41" w:rsidR="00B448FA" w:rsidRDefault="00B448FA" w:rsidP="00B448FA">
            <w:r>
              <w:t>Contingency Funds (10%)</w:t>
            </w:r>
          </w:p>
        </w:tc>
        <w:tc>
          <w:tcPr>
            <w:tcW w:w="4428" w:type="dxa"/>
          </w:tcPr>
          <w:p w14:paraId="35299A37" w14:textId="3D202E89" w:rsidR="00B448FA" w:rsidRDefault="00B448FA" w:rsidP="00B448FA">
            <w:r>
              <w:t>$135,300.00</w:t>
            </w:r>
          </w:p>
        </w:tc>
      </w:tr>
      <w:tr w:rsidR="00B448FA" w:rsidRPr="00B448FA" w14:paraId="315957E2" w14:textId="77777777" w:rsidTr="00B448FA">
        <w:tc>
          <w:tcPr>
            <w:tcW w:w="4428" w:type="dxa"/>
          </w:tcPr>
          <w:p w14:paraId="594866A4" w14:textId="4B8D48E6" w:rsidR="00B448FA" w:rsidRDefault="00B448FA" w:rsidP="00B448FA">
            <w:r>
              <w:t>Total Estimated Budget</w:t>
            </w:r>
          </w:p>
        </w:tc>
        <w:tc>
          <w:tcPr>
            <w:tcW w:w="4428" w:type="dxa"/>
          </w:tcPr>
          <w:p w14:paraId="49969830" w14:textId="06328A8E" w:rsidR="00B448FA" w:rsidRDefault="00B448FA" w:rsidP="00B448FA">
            <w:r>
              <w:t>$1,365,300.00</w:t>
            </w:r>
          </w:p>
        </w:tc>
      </w:tr>
    </w:tbl>
    <w:p w14:paraId="3FA3B519" w14:textId="77777777" w:rsidR="00B448FA" w:rsidRPr="00B448FA" w:rsidRDefault="00B448FA" w:rsidP="00B448FA">
      <w:pPr>
        <w:spacing w:after="0" w:line="240" w:lineRule="auto"/>
      </w:pPr>
    </w:p>
    <w:p w14:paraId="4917CDB0" w14:textId="21150D15" w:rsidR="00A17358" w:rsidRDefault="00A17358" w:rsidP="00B448FA">
      <w:pPr>
        <w:spacing w:after="0" w:line="240" w:lineRule="auto"/>
      </w:pPr>
    </w:p>
    <w:p w14:paraId="313AB7A6" w14:textId="77777777" w:rsidR="00A17358" w:rsidRPr="00B448FA" w:rsidRDefault="008F0B02" w:rsidP="00B448FA">
      <w:pPr>
        <w:pStyle w:val="Heading2"/>
        <w:spacing w:before="0" w:line="240" w:lineRule="auto"/>
        <w:rPr>
          <w:color w:val="244061" w:themeColor="accent1" w:themeShade="80"/>
        </w:rPr>
      </w:pPr>
      <w:r w:rsidRPr="00B448FA">
        <w:rPr>
          <w:color w:val="244061" w:themeColor="accent1" w:themeShade="80"/>
        </w:rPr>
        <w:t>Outcomes and Measures of Success</w:t>
      </w:r>
    </w:p>
    <w:p w14:paraId="3BE68D21" w14:textId="77777777" w:rsidR="00B448FA" w:rsidRDefault="00B448FA" w:rsidP="00B448FA">
      <w:pPr>
        <w:spacing w:after="0" w:line="240" w:lineRule="auto"/>
      </w:pPr>
    </w:p>
    <w:tbl>
      <w:tblPr>
        <w:tblStyle w:val="PlainTable1"/>
        <w:tblW w:w="0" w:type="auto"/>
        <w:tblLook w:val="0420" w:firstRow="1" w:lastRow="0" w:firstColumn="0" w:lastColumn="0" w:noHBand="0" w:noVBand="1"/>
      </w:tblPr>
      <w:tblGrid>
        <w:gridCol w:w="2952"/>
        <w:gridCol w:w="2952"/>
        <w:gridCol w:w="2952"/>
      </w:tblGrid>
      <w:tr w:rsidR="00B448FA" w:rsidRPr="00B448FA" w14:paraId="5DCE3949" w14:textId="77777777" w:rsidTr="00B448FA">
        <w:trPr>
          <w:cnfStyle w:val="100000000000" w:firstRow="1" w:lastRow="0" w:firstColumn="0" w:lastColumn="0" w:oddVBand="0" w:evenVBand="0" w:oddHBand="0" w:evenHBand="0" w:firstRowFirstColumn="0" w:firstRowLastColumn="0" w:lastRowFirstColumn="0" w:lastRowLastColumn="0"/>
        </w:trPr>
        <w:tc>
          <w:tcPr>
            <w:tcW w:w="2952" w:type="dxa"/>
          </w:tcPr>
          <w:p w14:paraId="790AA2FD" w14:textId="4B789B88" w:rsidR="00B448FA" w:rsidRPr="00B448FA" w:rsidRDefault="00B448FA" w:rsidP="00B448FA">
            <w:r>
              <w:t>Objective</w:t>
            </w:r>
          </w:p>
        </w:tc>
        <w:tc>
          <w:tcPr>
            <w:tcW w:w="2952" w:type="dxa"/>
          </w:tcPr>
          <w:p w14:paraId="281BB5E1" w14:textId="6CF38D77" w:rsidR="00B448FA" w:rsidRPr="00B448FA" w:rsidRDefault="00B448FA" w:rsidP="00B448FA">
            <w:r>
              <w:t>Metric</w:t>
            </w:r>
          </w:p>
        </w:tc>
        <w:tc>
          <w:tcPr>
            <w:tcW w:w="2952" w:type="dxa"/>
          </w:tcPr>
          <w:p w14:paraId="4A1D36DB" w14:textId="5686FEFF" w:rsidR="00B448FA" w:rsidRPr="00B448FA" w:rsidRDefault="00B448FA" w:rsidP="00B448FA">
            <w:r>
              <w:t>Target</w:t>
            </w:r>
          </w:p>
        </w:tc>
      </w:tr>
      <w:tr w:rsidR="00B448FA" w:rsidRPr="00B448FA" w14:paraId="79D41C4A" w14:textId="77777777" w:rsidTr="00B448FA">
        <w:trPr>
          <w:cnfStyle w:val="000000100000" w:firstRow="0" w:lastRow="0" w:firstColumn="0" w:lastColumn="0" w:oddVBand="0" w:evenVBand="0" w:oddHBand="1" w:evenHBand="0" w:firstRowFirstColumn="0" w:firstRowLastColumn="0" w:lastRowFirstColumn="0" w:lastRowLastColumn="0"/>
        </w:trPr>
        <w:tc>
          <w:tcPr>
            <w:tcW w:w="2952" w:type="dxa"/>
          </w:tcPr>
          <w:p w14:paraId="572C5B36" w14:textId="594E48C7" w:rsidR="00B448FA" w:rsidRDefault="00B448FA" w:rsidP="00B448FA">
            <w:r>
              <w:t>Digital literacy improvement</w:t>
            </w:r>
          </w:p>
        </w:tc>
        <w:tc>
          <w:tcPr>
            <w:tcW w:w="2952" w:type="dxa"/>
          </w:tcPr>
          <w:p w14:paraId="5BB41343" w14:textId="2B4AEAE9" w:rsidR="00B448FA" w:rsidRDefault="00B448FA" w:rsidP="00B448FA">
            <w:r>
              <w:t>Pre/post assessment scores</w:t>
            </w:r>
          </w:p>
        </w:tc>
        <w:tc>
          <w:tcPr>
            <w:tcW w:w="2952" w:type="dxa"/>
          </w:tcPr>
          <w:p w14:paraId="2653D9B8" w14:textId="7422C6B5" w:rsidR="00B448FA" w:rsidRDefault="00B448FA" w:rsidP="00B448FA">
            <w:r>
              <w:t>80% show 30%+ improvement</w:t>
            </w:r>
          </w:p>
        </w:tc>
      </w:tr>
      <w:tr w:rsidR="00B448FA" w:rsidRPr="00B448FA" w14:paraId="6D8F4E59" w14:textId="77777777" w:rsidTr="00B448FA">
        <w:tc>
          <w:tcPr>
            <w:tcW w:w="2952" w:type="dxa"/>
          </w:tcPr>
          <w:p w14:paraId="068CD23A" w14:textId="2DBD9A41" w:rsidR="00B448FA" w:rsidRDefault="00B448FA" w:rsidP="00B448FA">
            <w:r>
              <w:t>AI awareness and application</w:t>
            </w:r>
          </w:p>
        </w:tc>
        <w:tc>
          <w:tcPr>
            <w:tcW w:w="2952" w:type="dxa"/>
          </w:tcPr>
          <w:p w14:paraId="6369BC8E" w14:textId="5DD37512" w:rsidR="00B448FA" w:rsidRDefault="00B448FA" w:rsidP="00B448FA">
            <w:r>
              <w:t xml:space="preserve">Completion of AI </w:t>
            </w:r>
            <w:proofErr w:type="gramStart"/>
            <w:r>
              <w:t>mini-projects</w:t>
            </w:r>
            <w:proofErr w:type="gramEnd"/>
          </w:p>
        </w:tc>
        <w:tc>
          <w:tcPr>
            <w:tcW w:w="2952" w:type="dxa"/>
          </w:tcPr>
          <w:p w14:paraId="6A738A58" w14:textId="143F1BFE" w:rsidR="00B448FA" w:rsidRDefault="00B448FA" w:rsidP="00B448FA">
            <w:r>
              <w:t>90% completion rate</w:t>
            </w:r>
          </w:p>
        </w:tc>
      </w:tr>
      <w:tr w:rsidR="00B448FA" w:rsidRPr="00B448FA" w14:paraId="6FFB30C1" w14:textId="77777777" w:rsidTr="00B448FA">
        <w:trPr>
          <w:cnfStyle w:val="000000100000" w:firstRow="0" w:lastRow="0" w:firstColumn="0" w:lastColumn="0" w:oddVBand="0" w:evenVBand="0" w:oddHBand="1" w:evenHBand="0" w:firstRowFirstColumn="0" w:firstRowLastColumn="0" w:lastRowFirstColumn="0" w:lastRowLastColumn="0"/>
        </w:trPr>
        <w:tc>
          <w:tcPr>
            <w:tcW w:w="2952" w:type="dxa"/>
          </w:tcPr>
          <w:p w14:paraId="4E4CBF1C" w14:textId="128A41DE" w:rsidR="00B448FA" w:rsidRDefault="00B448FA" w:rsidP="00B448FA">
            <w:r>
              <w:t>Job readiness</w:t>
            </w:r>
          </w:p>
        </w:tc>
        <w:tc>
          <w:tcPr>
            <w:tcW w:w="2952" w:type="dxa"/>
          </w:tcPr>
          <w:p w14:paraId="714C645E" w14:textId="5D0DAEE6" w:rsidR="00B448FA" w:rsidRDefault="00B448FA" w:rsidP="00B448FA">
            <w:r>
              <w:t>Resume and LinkedIn profile</w:t>
            </w:r>
          </w:p>
        </w:tc>
        <w:tc>
          <w:tcPr>
            <w:tcW w:w="2952" w:type="dxa"/>
          </w:tcPr>
          <w:p w14:paraId="1AB36A21" w14:textId="70FB91CE" w:rsidR="00B448FA" w:rsidRDefault="00B448FA" w:rsidP="00B448FA">
            <w:r>
              <w:t>95% completion</w:t>
            </w:r>
          </w:p>
        </w:tc>
      </w:tr>
      <w:tr w:rsidR="00B448FA" w:rsidRPr="00B448FA" w14:paraId="4F82AE50" w14:textId="77777777" w:rsidTr="00B448FA">
        <w:tc>
          <w:tcPr>
            <w:tcW w:w="2952" w:type="dxa"/>
          </w:tcPr>
          <w:p w14:paraId="6E54996B" w14:textId="6366154B" w:rsidR="00B448FA" w:rsidRDefault="00B448FA" w:rsidP="00B448FA">
            <w:r>
              <w:t>Employment outcomes</w:t>
            </w:r>
          </w:p>
        </w:tc>
        <w:tc>
          <w:tcPr>
            <w:tcW w:w="2952" w:type="dxa"/>
          </w:tcPr>
          <w:p w14:paraId="3E8E7D55" w14:textId="5E4BBD1B" w:rsidR="00B448FA" w:rsidRDefault="00B448FA" w:rsidP="00B448FA">
            <w:r>
              <w:t>Apprenticeship/job placement</w:t>
            </w:r>
          </w:p>
        </w:tc>
        <w:tc>
          <w:tcPr>
            <w:tcW w:w="2952" w:type="dxa"/>
          </w:tcPr>
          <w:p w14:paraId="7B6AE93C" w14:textId="1AA28D00" w:rsidR="00B448FA" w:rsidRDefault="00B448FA" w:rsidP="00B448FA">
            <w:r>
              <w:t>60% placed within 3 months</w:t>
            </w:r>
          </w:p>
        </w:tc>
      </w:tr>
      <w:tr w:rsidR="00B448FA" w:rsidRPr="00B448FA" w14:paraId="47C8C5CD" w14:textId="77777777" w:rsidTr="00B448FA">
        <w:trPr>
          <w:cnfStyle w:val="000000100000" w:firstRow="0" w:lastRow="0" w:firstColumn="0" w:lastColumn="0" w:oddVBand="0" w:evenVBand="0" w:oddHBand="1" w:evenHBand="0" w:firstRowFirstColumn="0" w:firstRowLastColumn="0" w:lastRowFirstColumn="0" w:lastRowLastColumn="0"/>
        </w:trPr>
        <w:tc>
          <w:tcPr>
            <w:tcW w:w="2952" w:type="dxa"/>
          </w:tcPr>
          <w:p w14:paraId="10C043F2" w14:textId="7C59190B" w:rsidR="00B448FA" w:rsidRDefault="00B448FA" w:rsidP="00B448FA">
            <w:r>
              <w:t>Participant satisfaction</w:t>
            </w:r>
          </w:p>
        </w:tc>
        <w:tc>
          <w:tcPr>
            <w:tcW w:w="2952" w:type="dxa"/>
          </w:tcPr>
          <w:p w14:paraId="3AFB5655" w14:textId="0122B775" w:rsidR="00B448FA" w:rsidRDefault="00B448FA" w:rsidP="00B448FA">
            <w:r>
              <w:t>Post-program survey</w:t>
            </w:r>
          </w:p>
        </w:tc>
        <w:tc>
          <w:tcPr>
            <w:tcW w:w="2952" w:type="dxa"/>
          </w:tcPr>
          <w:p w14:paraId="572BD64A" w14:textId="2BE4ABBE" w:rsidR="00B448FA" w:rsidRDefault="00B448FA" w:rsidP="00B448FA">
            <w:r>
              <w:t>85% satisfaction rate</w:t>
            </w:r>
          </w:p>
        </w:tc>
      </w:tr>
    </w:tbl>
    <w:p w14:paraId="0E215C14" w14:textId="77777777" w:rsidR="00B448FA" w:rsidRPr="00B448FA" w:rsidRDefault="00B448FA" w:rsidP="00B448FA">
      <w:pPr>
        <w:spacing w:after="0" w:line="240" w:lineRule="auto"/>
      </w:pPr>
    </w:p>
    <w:p w14:paraId="2D642CF2" w14:textId="1D16C8C8" w:rsidR="00B448FA" w:rsidRDefault="00B448FA" w:rsidP="00B448FA">
      <w:pPr>
        <w:spacing w:after="0" w:line="240" w:lineRule="auto"/>
      </w:pPr>
    </w:p>
    <w:p w14:paraId="2FAEB29A" w14:textId="77777777" w:rsidR="00B448FA" w:rsidRDefault="008F0B02" w:rsidP="00B448FA">
      <w:pPr>
        <w:spacing w:after="0" w:line="240" w:lineRule="auto"/>
      </w:pPr>
      <w:r>
        <w:t>Data Collection &amp; Reporting:</w:t>
      </w:r>
    </w:p>
    <w:p w14:paraId="009B727E" w14:textId="77777777" w:rsidR="00B448FA" w:rsidRDefault="008F0B02" w:rsidP="00B448FA">
      <w:pPr>
        <w:spacing w:after="0" w:line="240" w:lineRule="auto"/>
      </w:pPr>
      <w:r>
        <w:t>- Tools: Microsoft Forms, Power BI, LinkedIn Learning analytics</w:t>
      </w:r>
    </w:p>
    <w:p w14:paraId="72203DB2" w14:textId="77777777" w:rsidR="00B448FA" w:rsidRDefault="008F0B02" w:rsidP="00B448FA">
      <w:pPr>
        <w:spacing w:after="0" w:line="240" w:lineRule="auto"/>
      </w:pPr>
      <w:r>
        <w:t>- Methods:</w:t>
      </w:r>
    </w:p>
    <w:p w14:paraId="446D7A5E" w14:textId="77777777" w:rsidR="00B448FA" w:rsidRDefault="008F0B02" w:rsidP="00B448FA">
      <w:pPr>
        <w:spacing w:after="0" w:line="240" w:lineRule="auto"/>
      </w:pPr>
      <w:r>
        <w:t xml:space="preserve">  - Pre/post assessments</w:t>
      </w:r>
    </w:p>
    <w:p w14:paraId="070EF1FD" w14:textId="77777777" w:rsidR="00B448FA" w:rsidRDefault="008F0B02" w:rsidP="00B448FA">
      <w:pPr>
        <w:spacing w:after="0" w:line="240" w:lineRule="auto"/>
      </w:pPr>
      <w:r>
        <w:t xml:space="preserve">  - Weekly attendance tracking</w:t>
      </w:r>
    </w:p>
    <w:p w14:paraId="646327E1" w14:textId="77777777" w:rsidR="00B448FA" w:rsidRDefault="008F0B02" w:rsidP="00B448FA">
      <w:pPr>
        <w:spacing w:after="0" w:line="240" w:lineRule="auto"/>
      </w:pPr>
      <w:r>
        <w:t xml:space="preserve">  - Employer feedback forms</w:t>
      </w:r>
    </w:p>
    <w:p w14:paraId="08B02C76" w14:textId="77777777" w:rsidR="00B448FA" w:rsidRDefault="008F0B02" w:rsidP="00B448FA">
      <w:pPr>
        <w:spacing w:after="0" w:line="240" w:lineRule="auto"/>
      </w:pPr>
      <w:r>
        <w:t xml:space="preserve">  - 3- and 6-month follow-up surveys</w:t>
      </w:r>
    </w:p>
    <w:p w14:paraId="2C9E1D3D" w14:textId="77777777" w:rsidR="00B448FA" w:rsidRDefault="008F0B02" w:rsidP="00B448FA">
      <w:pPr>
        <w:spacing w:after="0" w:line="240" w:lineRule="auto"/>
      </w:pPr>
      <w:r>
        <w:t>- Reporting Cadence:</w:t>
      </w:r>
    </w:p>
    <w:p w14:paraId="1BE18176" w14:textId="77777777" w:rsidR="00B448FA" w:rsidRDefault="008F0B02" w:rsidP="00B448FA">
      <w:pPr>
        <w:spacing w:after="0" w:line="240" w:lineRule="auto"/>
      </w:pPr>
      <w:r>
        <w:t xml:space="preserve">  - Monthly internal reports</w:t>
      </w:r>
    </w:p>
    <w:p w14:paraId="16C4471A" w14:textId="77777777" w:rsidR="00B448FA" w:rsidRDefault="008F0B02" w:rsidP="00B448FA">
      <w:pPr>
        <w:spacing w:after="0" w:line="240" w:lineRule="auto"/>
      </w:pPr>
      <w:r>
        <w:t xml:space="preserve">  - Quarterly stakeholder updates</w:t>
      </w:r>
    </w:p>
    <w:p w14:paraId="742DA5C1" w14:textId="77777777" w:rsidR="00B448FA" w:rsidRDefault="008F0B02" w:rsidP="00B448FA">
      <w:pPr>
        <w:spacing w:after="0" w:line="240" w:lineRule="auto"/>
      </w:pPr>
      <w:r>
        <w:t xml:space="preserve">  - Final impact report with success stories</w:t>
      </w:r>
    </w:p>
    <w:p w14:paraId="34A4258F" w14:textId="02E8650D" w:rsidR="00A17358" w:rsidRDefault="00A17358" w:rsidP="00B448FA">
      <w:pPr>
        <w:spacing w:after="0" w:line="240" w:lineRule="auto"/>
      </w:pPr>
    </w:p>
    <w:sectPr w:rsidR="00A17358" w:rsidSect="00B448F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83837787">
    <w:abstractNumId w:val="8"/>
  </w:num>
  <w:num w:numId="2" w16cid:durableId="1863274344">
    <w:abstractNumId w:val="6"/>
  </w:num>
  <w:num w:numId="3" w16cid:durableId="1307246890">
    <w:abstractNumId w:val="5"/>
  </w:num>
  <w:num w:numId="4" w16cid:durableId="1931351361">
    <w:abstractNumId w:val="4"/>
  </w:num>
  <w:num w:numId="5" w16cid:durableId="363749853">
    <w:abstractNumId w:val="7"/>
  </w:num>
  <w:num w:numId="6" w16cid:durableId="1214853920">
    <w:abstractNumId w:val="3"/>
  </w:num>
  <w:num w:numId="7" w16cid:durableId="1645239232">
    <w:abstractNumId w:val="2"/>
  </w:num>
  <w:num w:numId="8" w16cid:durableId="188224149">
    <w:abstractNumId w:val="1"/>
  </w:num>
  <w:num w:numId="9" w16cid:durableId="83722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3D0B"/>
    <w:rsid w:val="00326F90"/>
    <w:rsid w:val="008F0B02"/>
    <w:rsid w:val="00A17358"/>
    <w:rsid w:val="00AA1D8D"/>
    <w:rsid w:val="00B16FFA"/>
    <w:rsid w:val="00B448FA"/>
    <w:rsid w:val="00B47730"/>
    <w:rsid w:val="00CB0664"/>
    <w:rsid w:val="00CC5323"/>
    <w:rsid w:val="00E74AEA"/>
    <w:rsid w:val="00F646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369827"/>
  <w14:defaultImageDpi w14:val="300"/>
  <w15:docId w15:val="{05D1EB5A-42A5-4E39-88A3-6BB91E9B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1">
    <w:name w:val="Plain Table 1"/>
    <w:basedOn w:val="TableNormal"/>
    <w:uiPriority w:val="99"/>
    <w:rsid w:val="00B448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87867195-f2b8-4ac2-b0b6-6bb73cb33af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Kendall Joyner</cp:lastModifiedBy>
  <cp:revision>2</cp:revision>
  <dcterms:created xsi:type="dcterms:W3CDTF">2025-06-26T15:27:00Z</dcterms:created>
  <dcterms:modified xsi:type="dcterms:W3CDTF">2025-06-26T15:27:00Z</dcterms:modified>
  <cp:category/>
</cp:coreProperties>
</file>